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Calibri" w:hAnsi="Calibri" w:eastAsia="Microsoft YaHei"/>
          <w:b/>
          <w:color w:val="2E74B5"/>
          <w:sz w:val="20"/>
        </w:rPr>
        <w:t>FINAL TECHNICAL DELIVERY</w:t>
      </w:r>
    </w:p>
    <w:p>
      <w:pPr>
        <w:jc w:val="center"/>
      </w:pPr>
      <w:r>
        <w:rPr>
          <w:rFonts w:ascii="Calibri" w:hAnsi="Calibri" w:eastAsia="Microsoft YaHei"/>
          <w:b/>
          <w:color w:val="1F4D78"/>
          <w:sz w:val="50"/>
        </w:rPr>
        <w:t>SciPilot 知识库与数据库实施交付说明</w:t>
      </w:r>
    </w:p>
    <w:p>
      <w:pPr>
        <w:spacing w:after="520"/>
        <w:jc w:val="center"/>
      </w:pPr>
      <w:r>
        <w:rPr>
          <w:rFonts w:ascii="Calibri" w:hAnsi="Calibri" w:eastAsia="Microsoft YaHei"/>
          <w:color w:val="2E74B5"/>
          <w:sz w:val="23"/>
        </w:rPr>
        <w:t>Supabase · PostgreSQL · RLS · Storage · RAG · FastAPI · React · Five Agents</w:t>
      </w:r>
    </w:p>
    <w:p>
      <w:pPr>
        <w:spacing w:after="1100"/>
        <w:ind w:left="792" w:right="792"/>
        <w:jc w:val="center"/>
      </w:pPr>
      <w:r>
        <w:rPr>
          <w:rFonts w:ascii="Calibri" w:hAnsi="Calibri" w:eastAsia="Microsoft YaHei"/>
          <w:color w:val="5B6573"/>
          <w:sz w:val="22"/>
        </w:rPr>
        <w:t>本次工作严格沿用项目 README 已设计的五智能体、统一 API、Supabase 数据层、数据持久化、研究记忆与知识图谱方向，在原有 001—005 基础上增量完成数据库和成熟知识库。006—008 已部署，12 条合规软件工程知识已写入，5 个智能体均已通过引用式检索实测。</w:t>
      </w:r>
    </w:p>
    <w:p>
      <w:pPr>
        <w:jc w:val="center"/>
      </w:pPr>
      <w:r>
        <w:rPr>
          <w:rFonts w:ascii="Calibri" w:hAnsi="Calibri" w:eastAsia="Microsoft YaHei"/>
          <w:b/>
          <w:color w:val="5B6573"/>
          <w:sz w:val="19"/>
        </w:rPr>
        <w:t>交付日期：2026-07-29  |  仓库：telitor/SciPilot  |  本地：Scipilot试运行</w:t>
      </w:r>
    </w:p>
    <w:p>
      <w:r>
        <w:br w:type="page"/>
      </w:r>
    </w:p>
    <w:p>
      <w:pPr>
        <w:pStyle w:val="Heading1"/>
      </w:pPr>
      <w:r>
        <w:t>1. 最终结论</w:t>
      </w:r>
    </w:p>
    <w:p>
      <w:pPr>
        <w:spacing w:before="120" w:after="160" w:line="288" w:lineRule="auto"/>
        <w:ind w:left="173" w:right="173"/>
        <w:shd w:fill="EAF5EE"/>
      </w:pPr>
      <w:r>
        <w:rPr>
          <w:rFonts w:ascii="Calibri" w:hAnsi="Calibri" w:eastAsia="Microsoft YaHei"/>
          <w:b/>
          <w:color w:val="1F4D78"/>
          <w:sz w:val="21"/>
        </w:rPr>
        <w:t>本次范围：</w:t>
      </w:r>
      <w:r>
        <w:rPr>
          <w:rFonts w:ascii="Calibri" w:hAnsi="Calibri" w:eastAsia="Microsoft YaHei"/>
          <w:color w:val="172033"/>
          <w:sz w:val="21"/>
        </w:rPr>
        <w:t>数据库和知识库任务已经完成并通过在线验证。Supabase 不只是“接上了”：PostgreSQL 表、Auth、RLS、Storage、搜索 RPC、种子数据、后端 API、前端页面和 5 个智能体已经组成可运行闭环。</w:t>
      </w:r>
    </w:p>
    <w:p>
      <w:r>
        <w:rPr>
          <w:rFonts w:ascii="Calibri" w:hAnsi="Calibri" w:eastAsia="Microsoft YaHei"/>
          <w:color w:val="172033"/>
          <w:sz w:val="21"/>
        </w:rPr>
        <w:t>这不是只在 Supabase 控制台写数据。Supabase 保存持久数据；FastAPI 负责身份校验、所有权检查、入库、切块、检索、引用审计和智能体编排；React 负责注册登录、知识管理、搜索问答和引用展示。缺少任一层都不能形成成熟知识库。</w:t>
      </w:r>
    </w:p>
    <w:tbl>
      <w:tblPr>
        <w:tblStyle w:val="TableGrid"/>
        <w:tblW w:type="dxa" w:w="93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200"/>
        <w:gridCol w:w="620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层次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已完成状态</w:t>
            </w:r>
          </w:p>
        </w:tc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主要结果</w:t>
            </w:r>
          </w:p>
        </w:tc>
      </w:tr>
      <w:tr>
        <w:trPr/>
        <w:tc>
          <w:tcPr>
            <w:tcW w:type="dxa" w:w="19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Supabase 数据层</w:t>
            </w:r>
          </w:p>
        </w:tc>
        <w:tc>
          <w:tcPr>
            <w:tcW w:type="dxa" w:w="1200"/>
            <w:shd w:fill="EAF5EE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完成</w:t>
            </w:r>
          </w:p>
        </w:tc>
        <w:tc>
          <w:tcPr>
            <w:tcW w:type="dxa" w:w="62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006—008 已部署；知识表、RLS、RPC、私有 Storage 可用</w:t>
            </w:r>
          </w:p>
        </w:tc>
      </w:tr>
      <w:tr>
        <w:trPr/>
        <w:tc>
          <w:tcPr>
            <w:tcW w:type="dxa" w:w="19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软件工程知识</w:t>
            </w:r>
          </w:p>
        </w:tc>
        <w:tc>
          <w:tcPr>
            <w:tcW w:type="dxa" w:w="1200"/>
            <w:shd w:fill="EAF5EE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完成</w:t>
            </w:r>
          </w:p>
        </w:tc>
        <w:tc>
          <w:tcPr>
            <w:tcW w:type="dxa" w:w="62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1 个公共系统集合、12 篇文档、12 个全文检索分块</w:t>
            </w:r>
          </w:p>
        </w:tc>
      </w:tr>
      <w:tr>
        <w:trPr/>
        <w:tc>
          <w:tcPr>
            <w:tcW w:type="dxa" w:w="19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FastAPI 后端</w:t>
            </w:r>
          </w:p>
        </w:tc>
        <w:tc>
          <w:tcPr>
            <w:tcW w:type="dxa" w:w="1200"/>
            <w:shd w:fill="EAF5EE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完成</w:t>
            </w:r>
          </w:p>
        </w:tc>
        <w:tc>
          <w:tcPr>
            <w:tcW w:type="dxa" w:w="62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知识入库/搜索/问答/审计及 5 智能体知识问答接口</w:t>
            </w:r>
          </w:p>
        </w:tc>
      </w:tr>
      <w:tr>
        <w:trPr/>
        <w:tc>
          <w:tcPr>
            <w:tcW w:type="dxa" w:w="19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React 前端</w:t>
            </w:r>
          </w:p>
        </w:tc>
        <w:tc>
          <w:tcPr>
            <w:tcW w:type="dxa" w:w="1200"/>
            <w:shd w:fill="EAF5EE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完成</w:t>
            </w:r>
          </w:p>
        </w:tc>
        <w:tc>
          <w:tcPr>
            <w:tcW w:type="dxa" w:w="62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知识库页面及 5 个功能页的知识智能体面板</w:t>
            </w:r>
          </w:p>
        </w:tc>
      </w:tr>
      <w:tr>
        <w:trPr/>
        <w:tc>
          <w:tcPr>
            <w:tcW w:type="dxa" w:w="19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端到端验收</w:t>
            </w:r>
          </w:p>
        </w:tc>
        <w:tc>
          <w:tcPr>
            <w:tcW w:type="dxa" w:w="1200"/>
            <w:shd w:fill="EAF5EE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通过</w:t>
            </w:r>
          </w:p>
        </w:tc>
        <w:tc>
          <w:tcPr>
            <w:tcW w:type="dxa" w:w="62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认证、双账户隔离、文件入库、检索、引用和 5 智能体均通过</w:t>
            </w:r>
          </w:p>
        </w:tc>
      </w:tr>
    </w:tbl>
    <w:p>
      <w:pPr>
        <w:spacing w:after="20"/>
      </w:pPr>
    </w:p>
    <w:p>
      <w:pPr>
        <w:pStyle w:val="Heading1"/>
      </w:pPr>
      <w:r>
        <w:t>2. 与 README 预先设计的对应关系</w:t>
      </w:r>
    </w:p>
    <w:p>
      <w:r>
        <w:rPr>
          <w:rFonts w:ascii="Calibri" w:hAnsi="Calibri" w:eastAsia="Microsoft YaHei"/>
          <w:color w:val="172033"/>
          <w:sz w:val="21"/>
        </w:rPr>
        <w:t>原 README 已明确 Five Vertical Agents、FastAPI Unified Dispatcher、Supabase PostgreSQL + RLS、Conversation Persistence、File Storage、Shared Research Context、Research Memory 和 Knowledge Graph。本次实现沿这些既定方向补齐数据与知识基础，没有另起一套不兼容架构。</w:t>
      </w:r>
    </w:p>
    <w:tbl>
      <w:tblPr>
        <w:tblStyle w:val="TableGrid"/>
        <w:tblW w:type="dxa" w:w="93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5600"/>
        <w:gridCol w:w="1100"/>
      </w:tblGrid>
      <w:tr>
        <w:trPr>
          <w:tblHeader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README 设计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本次实现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状态</w:t>
            </w:r>
          </w:p>
        </w:tc>
      </w:tr>
      <w:tr>
        <w:trPr/>
        <w:tc>
          <w:tcPr>
            <w:tcW w:type="dxa" w:w="2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Five Vertical Agents</w:t>
            </w:r>
          </w:p>
        </w:tc>
        <w:tc>
          <w:tcPr>
            <w:tcW w:type="dxa" w:w="5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5 类 agent 按 category 发现；全部先检索可见知识再回答并返回引用</w:t>
            </w:r>
          </w:p>
        </w:tc>
        <w:tc>
          <w:tcPr>
            <w:tcW w:type="dxa" w:w="1100"/>
            <w:shd w:fill="EAF5EE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完成</w:t>
            </w:r>
          </w:p>
        </w:tc>
      </w:tr>
      <w:tr>
        <w:trPr/>
        <w:tc>
          <w:tcPr>
            <w:tcW w:type="dxa" w:w="2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FastAPI Unified Dispatcher</w:t>
            </w:r>
          </w:p>
        </w:tc>
        <w:tc>
          <w:tcPr>
            <w:tcW w:type="dxa" w:w="5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新增统一 /agents/{agent_id}/ask，并把原会话问答接入同一 RAG 逻辑</w:t>
            </w:r>
          </w:p>
        </w:tc>
        <w:tc>
          <w:tcPr>
            <w:tcW w:type="dxa" w:w="1100"/>
            <w:shd w:fill="EAF5EE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完成</w:t>
            </w:r>
          </w:p>
        </w:tc>
      </w:tr>
      <w:tr>
        <w:trPr/>
        <w:tc>
          <w:tcPr>
            <w:tcW w:type="dxa" w:w="2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Supabase PostgreSQL + RLS</w:t>
            </w:r>
          </w:p>
        </w:tc>
        <w:tc>
          <w:tcPr>
            <w:tcW w:type="dxa" w:w="5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工作区表、6 张知识库表、索引、触发器、RLS 与后端所有权校验</w:t>
            </w:r>
          </w:p>
        </w:tc>
        <w:tc>
          <w:tcPr>
            <w:tcW w:type="dxa" w:w="1100"/>
            <w:shd w:fill="EAF5EE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完成</w:t>
            </w:r>
          </w:p>
        </w:tc>
      </w:tr>
      <w:tr>
        <w:trPr/>
        <w:tc>
          <w:tcPr>
            <w:tcW w:type="dxa" w:w="2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Conversation Persistence</w:t>
            </w:r>
          </w:p>
        </w:tc>
        <w:tc>
          <w:tcPr>
            <w:tcW w:type="dxa" w:w="5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消息保存引用、模型和 knowledge_used；检索及引用单独审计</w:t>
            </w:r>
          </w:p>
        </w:tc>
        <w:tc>
          <w:tcPr>
            <w:tcW w:type="dxa" w:w="1100"/>
            <w:shd w:fill="EAF5EE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完成</w:t>
            </w:r>
          </w:p>
        </w:tc>
      </w:tr>
      <w:tr>
        <w:trPr/>
        <w:tc>
          <w:tcPr>
            <w:tcW w:type="dxa" w:w="2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File Storage</w:t>
            </w:r>
          </w:p>
        </w:tc>
        <w:tc>
          <w:tcPr>
            <w:tcW w:type="dxa" w:w="5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papers 与 knowledge-base 两个私有 bucket；删除时同步清理对象</w:t>
            </w:r>
          </w:p>
        </w:tc>
        <w:tc>
          <w:tcPr>
            <w:tcW w:type="dxa" w:w="1100"/>
            <w:shd w:fill="EAF5EE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完成</w:t>
            </w:r>
          </w:p>
        </w:tc>
      </w:tr>
      <w:tr>
        <w:trPr/>
        <w:tc>
          <w:tcPr>
            <w:tcW w:type="dxa" w:w="2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Shared Research Context / Research Memory</w:t>
            </w:r>
          </w:p>
        </w:tc>
        <w:tc>
          <w:tcPr>
            <w:tcW w:type="dxa" w:w="5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公共系统知识 + 用户私有集合；5 智能体共享可见上下文</w:t>
            </w:r>
          </w:p>
        </w:tc>
        <w:tc>
          <w:tcPr>
            <w:tcW w:type="dxa" w:w="1100"/>
            <w:shd w:fill="EAF5EE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完成</w:t>
            </w:r>
          </w:p>
        </w:tc>
      </w:tr>
      <w:tr>
        <w:trPr/>
        <w:tc>
          <w:tcPr>
            <w:tcW w:type="dxa" w:w="2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Knowledge Graph</w:t>
            </w:r>
          </w:p>
        </w:tc>
        <w:tc>
          <w:tcPr>
            <w:tcW w:type="dxa" w:w="5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7 个目录资源、15 节点、14 关系；前端使用真实 /kg API</w:t>
            </w:r>
          </w:p>
        </w:tc>
        <w:tc>
          <w:tcPr>
            <w:tcW w:type="dxa" w:w="1100"/>
            <w:shd w:fill="EAF5EE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完成</w:t>
            </w:r>
          </w:p>
        </w:tc>
      </w:tr>
    </w:tbl>
    <w:p>
      <w:pPr>
        <w:spacing w:after="20"/>
      </w:pPr>
    </w:p>
    <w:p>
      <w:pPr>
        <w:spacing w:before="120" w:after="160" w:line="288" w:lineRule="auto"/>
        <w:ind w:left="173" w:right="173"/>
        <w:shd w:fill="FFF4D6"/>
      </w:pPr>
      <w:r>
        <w:rPr>
          <w:rFonts w:ascii="Calibri" w:hAnsi="Calibri" w:eastAsia="Microsoft YaHei"/>
          <w:b/>
          <w:color w:val="1F4D78"/>
          <w:sz w:val="21"/>
        </w:rPr>
        <w:t>边界说明：</w:t>
      </w:r>
      <w:r>
        <w:rPr>
          <w:rFonts w:ascii="Calibri" w:hAnsi="Calibri" w:eastAsia="Microsoft YaHei"/>
          <w:color w:val="172033"/>
          <w:sz w:val="21"/>
        </w:rPr>
        <w:t>上表的数据库/知识库范围已完成。README 的 Evolution Roadmap 还包含流式响应、多智能体自动任务转交与编排、云部署和 Agent 生态等长期阶段；这些不应被虚报为本次已完成。</w:t>
      </w:r>
    </w:p>
    <w:p>
      <w:r>
        <w:br w:type="page"/>
      </w:r>
    </w:p>
    <w:p>
      <w:pPr>
        <w:pStyle w:val="Heading1"/>
      </w:pPr>
      <w:r>
        <w:t>3. 数据库具体做了什么</w:t>
      </w:r>
    </w:p>
    <w:tbl>
      <w:tblPr>
        <w:tblStyle w:val="TableGrid"/>
        <w:tblW w:type="dxa" w:w="93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850"/>
        <w:gridCol w:w="3050"/>
      </w:tblGrid>
      <w:tr>
        <w:trPr>
          <w:tblHeader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对象</w:t>
            </w:r>
          </w:p>
        </w:tc>
        <w:tc>
          <w:tcPr>
            <w:tcW w:type="dxa" w:w="3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保存内容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作用</w:t>
            </w:r>
          </w:p>
        </w:tc>
      </w:tr>
      <w:tr>
        <w:trPr/>
        <w:tc>
          <w:tcPr>
            <w:tcW w:type="dxa" w:w="24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profiles / agents</w:t>
            </w:r>
          </w:p>
        </w:tc>
        <w:tc>
          <w:tcPr>
            <w:tcW w:type="dxa" w:w="385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用户资料、角色、5 个智能体定义</w:t>
            </w:r>
          </w:p>
        </w:tc>
        <w:tc>
          <w:tcPr>
            <w:tcW w:type="dxa" w:w="305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身份与能力目录</w:t>
            </w:r>
          </w:p>
        </w:tc>
      </w:tr>
      <w:tr>
        <w:trPr/>
        <w:tc>
          <w:tcPr>
            <w:tcW w:type="dxa" w:w="24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conversations / messages</w:t>
            </w:r>
          </w:p>
        </w:tc>
        <w:tc>
          <w:tcPr>
            <w:tcW w:type="dxa" w:w="385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会话、消息、引用、模型与元数据</w:t>
            </w:r>
          </w:p>
        </w:tc>
        <w:tc>
          <w:tcPr>
            <w:tcW w:type="dxa" w:w="305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连续交互和追溯</w:t>
            </w:r>
          </w:p>
        </w:tc>
      </w:tr>
      <w:tr>
        <w:trPr/>
        <w:tc>
          <w:tcPr>
            <w:tcW w:type="dxa" w:w="24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papers / paper_reports</w:t>
            </w:r>
          </w:p>
        </w:tc>
        <w:tc>
          <w:tcPr>
            <w:tcW w:type="dxa" w:w="385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论文元数据、文件路径、结构化精读报告</w:t>
            </w:r>
          </w:p>
        </w:tc>
        <w:tc>
          <w:tcPr>
            <w:tcW w:type="dxa" w:w="305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论文工作区</w:t>
            </w:r>
          </w:p>
        </w:tc>
      </w:tr>
      <w:tr>
        <w:trPr/>
        <w:tc>
          <w:tcPr>
            <w:tcW w:type="dxa" w:w="24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research_artifacts / activities</w:t>
            </w:r>
          </w:p>
        </w:tc>
        <w:tc>
          <w:tcPr>
            <w:tcW w:type="dxa" w:w="385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问题拆解、路线、复现、结果及活动流</w:t>
            </w:r>
          </w:p>
        </w:tc>
        <w:tc>
          <w:tcPr>
            <w:tcW w:type="dxa" w:w="305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科研产物沉淀</w:t>
            </w:r>
          </w:p>
        </w:tc>
      </w:tr>
      <w:tr>
        <w:trPr/>
        <w:tc>
          <w:tcPr>
            <w:tcW w:type="dxa" w:w="24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catalog_resources</w:t>
            </w:r>
          </w:p>
        </w:tc>
        <w:tc>
          <w:tcPr>
            <w:tcW w:type="dxa" w:w="385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7 条公开论文/数据集/仓库题录</w:t>
            </w:r>
          </w:p>
        </w:tc>
        <w:tc>
          <w:tcPr>
            <w:tcW w:type="dxa" w:w="305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可验证的公共资料目录</w:t>
            </w:r>
          </w:p>
        </w:tc>
      </w:tr>
      <w:tr>
        <w:trPr/>
        <w:tc>
          <w:tcPr>
            <w:tcW w:type="dxa" w:w="24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knowledge_nodes / edges</w:t>
            </w:r>
          </w:p>
        </w:tc>
        <w:tc>
          <w:tcPr>
            <w:tcW w:type="dxa" w:w="385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15 个节点、14 条关系</w:t>
            </w:r>
          </w:p>
        </w:tc>
        <w:tc>
          <w:tcPr>
            <w:tcW w:type="dxa" w:w="305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知识图谱探索</w:t>
            </w:r>
          </w:p>
        </w:tc>
      </w:tr>
      <w:tr>
        <w:trPr/>
        <w:tc>
          <w:tcPr>
            <w:tcW w:type="dxa" w:w="24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kb_collections</w:t>
            </w:r>
          </w:p>
        </w:tc>
        <w:tc>
          <w:tcPr>
            <w:tcW w:type="dxa" w:w="385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公共/私有集合、可见性、嵌入配置</w:t>
            </w:r>
          </w:p>
        </w:tc>
        <w:tc>
          <w:tcPr>
            <w:tcW w:type="dxa" w:w="305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知识空间边界</w:t>
            </w:r>
          </w:p>
        </w:tc>
      </w:tr>
      <w:tr>
        <w:trPr/>
        <w:tc>
          <w:tcPr>
            <w:tcW w:type="dxa" w:w="24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kb_documents / chunks</w:t>
            </w:r>
          </w:p>
        </w:tc>
        <w:tc>
          <w:tcPr>
            <w:tcW w:type="dxa" w:w="385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来源、正文、校验值、全文索引、可选 vector(1536)</w:t>
            </w:r>
          </w:p>
        </w:tc>
        <w:tc>
          <w:tcPr>
            <w:tcW w:type="dxa" w:w="305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RAG 检索主体</w:t>
            </w:r>
          </w:p>
        </w:tc>
      </w:tr>
      <w:tr>
        <w:trPr/>
        <w:tc>
          <w:tcPr>
            <w:tcW w:type="dxa" w:w="24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kb_retrievals / citations</w:t>
            </w:r>
          </w:p>
        </w:tc>
        <w:tc>
          <w:tcPr>
            <w:tcW w:type="dxa" w:w="385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问题、回答、检索模式、命中文档和片段快照</w:t>
            </w:r>
          </w:p>
        </w:tc>
        <w:tc>
          <w:tcPr>
            <w:tcW w:type="dxa" w:w="305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答案审计</w:t>
            </w:r>
          </w:p>
        </w:tc>
      </w:tr>
      <w:tr>
        <w:trPr/>
        <w:tc>
          <w:tcPr>
            <w:tcW w:type="dxa" w:w="24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Storage buckets</w:t>
            </w:r>
          </w:p>
        </w:tc>
        <w:tc>
          <w:tcPr>
            <w:tcW w:type="dxa" w:w="385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论文和知识库原文件</w:t>
            </w:r>
          </w:p>
        </w:tc>
        <w:tc>
          <w:tcPr>
            <w:tcW w:type="dxa" w:w="305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私有大文件存储</w:t>
            </w:r>
          </w:p>
        </w:tc>
      </w:tr>
    </w:tbl>
    <w:p>
      <w:pPr>
        <w:spacing w:after="20"/>
      </w:pPr>
    </w:p>
    <w:p>
      <w:pPr>
        <w:pStyle w:val="Heading2"/>
      </w:pPr>
      <w:r>
        <w:t>3.1 数据库系统知识解释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72033"/>
          <w:sz w:val="21"/>
        </w:rPr>
        <w:t>关系模型：集合、文档、片段、检索和引用通过 UUID 外键连接；删除用户或文档时按设计级联清理，减少孤儿数据。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72033"/>
          <w:sz w:val="21"/>
        </w:rPr>
        <w:t>RLS：数据库用 auth.uid() 控制行级可见性；FastAPI 使用服务器 Secret 后仍再次验证当前用户和资源所有权，形成纵深防御。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72033"/>
          <w:sz w:val="21"/>
        </w:rPr>
        <w:t>索引：普通业务字段使用 B-tree；中文模糊检索使用 pg_trgm；语义检索可使用 pgvector。索引降低全表扫描成本。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72033"/>
          <w:sz w:val="21"/>
        </w:rPr>
        <w:t>切块：长文档被拆为可独立检索的片段，问答只选择相关证据，既减少上下文成本，也能精确引用来源。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72033"/>
          <w:sz w:val="21"/>
        </w:rPr>
        <w:t>审计：kb_retrievals 保存一次查询，kb_citations 保存每条证据；回答可以回溯到文档和片段，而非只保存一段不可解释文字。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72033"/>
          <w:sz w:val="21"/>
        </w:rPr>
        <w:t>Storage：二进制文件不直接塞进数据库行，数据库保存受控路径和元数据；bucket 保持 private，通过后端签名或授权访问。</w:t>
      </w:r>
    </w:p>
    <w:p>
      <w:pPr>
        <w:pStyle w:val="Heading1"/>
      </w:pPr>
      <w:r>
        <w:t>4. 知识库中现在有什么</w:t>
      </w:r>
    </w:p>
    <w:p>
      <w:pPr>
        <w:spacing w:before="120" w:after="160" w:line="288" w:lineRule="auto"/>
        <w:ind w:left="173" w:right="173"/>
        <w:shd w:fill="EAF5EE"/>
      </w:pPr>
      <w:r>
        <w:rPr>
          <w:rFonts w:ascii="Calibri" w:hAnsi="Calibri" w:eastAsia="Microsoft YaHei"/>
          <w:b/>
          <w:color w:val="1F4D78"/>
          <w:sz w:val="21"/>
        </w:rPr>
        <w:t>版权策略：</w:t>
      </w:r>
      <w:r>
        <w:rPr>
          <w:rFonts w:ascii="Calibri" w:hAnsi="Calibri" w:eastAsia="Microsoft YaHei"/>
          <w:color w:val="172033"/>
          <w:sz w:val="21"/>
        </w:rPr>
        <w:t>所有 12 条正文均为 SciPilot 原创中文总结或操作卡。第三方资料只保存事实性题录、官方链接和许可边界，不复制受版权保护的论文、标准、数据集或课程全文。</w:t>
      </w:r>
    </w:p>
    <w:tbl>
      <w:tblPr>
        <w:tblStyle w:val="TableGrid"/>
        <w:tblW w:type="dxa" w:w="93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0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类别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当前知识</w:t>
            </w:r>
          </w:p>
        </w:tc>
      </w:tr>
      <w:tr>
        <w:trPr/>
        <w:tc>
          <w:tcPr>
            <w:tcW w:type="dxa" w:w="21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论文精读</w:t>
            </w:r>
          </w:p>
        </w:tc>
        <w:tc>
          <w:tcPr>
            <w:tcW w:type="dxa" w:w="72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Attention Is All You Need；BERT；CodeBERT/GraphCodeBERT；SWE-bench</w:t>
            </w:r>
          </w:p>
        </w:tc>
      </w:tr>
      <w:tr>
        <w:trPr/>
        <w:tc>
          <w:tcPr>
            <w:tcW w:type="dxa" w:w="21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需求与安全</w:t>
            </w:r>
          </w:p>
        </w:tc>
        <w:tc>
          <w:tcPr>
            <w:tcW w:type="dxa" w:w="72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SWEBOK 需求拆解；NIST SSDF 安全软件开发</w:t>
            </w:r>
          </w:p>
        </w:tc>
      </w:tr>
      <w:tr>
        <w:trPr/>
        <w:tc>
          <w:tcPr>
            <w:tcW w:type="dxa" w:w="21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工程流程</w:t>
            </w:r>
          </w:p>
        </w:tc>
        <w:tc>
          <w:tcPr>
            <w:tcW w:type="dxa" w:w="72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GitHub Actions CI/CD；软件工程可复现实验最小证据包</w:t>
            </w:r>
          </w:p>
        </w:tc>
      </w:tr>
      <w:tr>
        <w:trPr/>
        <w:tc>
          <w:tcPr>
            <w:tcW w:type="dxa" w:w="21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数据集/基准</w:t>
            </w:r>
          </w:p>
        </w:tc>
        <w:tc>
          <w:tcPr>
            <w:tcW w:type="dxa" w:w="72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CodeSearchNet；Defects4J</w:t>
            </w:r>
          </w:p>
        </w:tc>
      </w:tr>
      <w:tr>
        <w:trPr/>
        <w:tc>
          <w:tcPr>
            <w:tcW w:type="dxa" w:w="21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测试与统计</w:t>
            </w:r>
          </w:p>
        </w:tc>
        <w:tc>
          <w:tcPr>
            <w:tcW w:type="dxa" w:w="72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ISTQB CTFL 测试设计；NIST 工程统计结果分析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color w:val="172033"/>
          <w:sz w:val="21"/>
        </w:rPr>
        <w:t>每篇知识文档和每个片段均包含 source_url、official_sources、license_scope、topics、agent_categories、content_policy 和稳定 seed_key。种子脚本可幂等重跑：内容未变则复用，内容更新则只替换同一系统条目，不会无限产生重复文档。</w:t>
      </w:r>
    </w:p>
    <w:p>
      <w:r>
        <w:br w:type="page"/>
      </w:r>
    </w:p>
    <w:p>
      <w:pPr>
        <w:pStyle w:val="Heading1"/>
      </w:pPr>
      <w:r>
        <w:t>5. 五个智能体如何调用知识</w:t>
      </w:r>
    </w:p>
    <w:tbl>
      <w:tblPr>
        <w:tblStyle w:val="TableGrid"/>
        <w:tblW w:type="dxa" w:w="93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4900"/>
        <w:gridCol w:w="210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智能体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知识用途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在线实测</w:t>
            </w:r>
          </w:p>
        </w:tc>
      </w:tr>
      <w:tr>
        <w:trPr/>
        <w:tc>
          <w:tcPr>
            <w:tcW w:type="dxa" w:w="23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论文精读助手</w:t>
            </w:r>
          </w:p>
        </w:tc>
        <w:tc>
          <w:tcPr>
            <w:tcW w:type="dxa" w:w="49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研究问题、方法、实验依据、局限和论文题录</w:t>
            </w:r>
          </w:p>
        </w:tc>
        <w:tc>
          <w:tcPr>
            <w:tcW w:type="dxa" w:w="21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HTTP 200，6 条引用</w:t>
            </w:r>
          </w:p>
        </w:tc>
      </w:tr>
      <w:tr>
        <w:trPr/>
        <w:tc>
          <w:tcPr>
            <w:tcW w:type="dxa" w:w="23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问题拆解助手</w:t>
            </w:r>
          </w:p>
        </w:tc>
        <w:tc>
          <w:tcPr>
            <w:tcW w:type="dxa" w:w="49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约束、变量、子问题、输入输出和验收标准</w:t>
            </w:r>
          </w:p>
        </w:tc>
        <w:tc>
          <w:tcPr>
            <w:tcW w:type="dxa" w:w="21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HTTP 200，8 条引用</w:t>
            </w:r>
          </w:p>
        </w:tc>
      </w:tr>
      <w:tr>
        <w:trPr/>
        <w:tc>
          <w:tcPr>
            <w:tcW w:type="dxa" w:w="23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项目规划助手</w:t>
            </w:r>
          </w:p>
        </w:tc>
        <w:tc>
          <w:tcPr>
            <w:tcW w:type="dxa" w:w="49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里程碑、依赖、风险、CI/CD 和质量计划</w:t>
            </w:r>
          </w:p>
        </w:tc>
        <w:tc>
          <w:tcPr>
            <w:tcW w:type="dxa" w:w="21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HTTP 200，7 条引用</w:t>
            </w:r>
          </w:p>
        </w:tc>
      </w:tr>
      <w:tr>
        <w:trPr/>
        <w:tc>
          <w:tcPr>
            <w:tcW w:type="dxa" w:w="23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代码复现助手</w:t>
            </w:r>
          </w:p>
        </w:tc>
        <w:tc>
          <w:tcPr>
            <w:tcW w:type="dxa" w:w="49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版本锁定、环境、数据、随机种子和排错流程</w:t>
            </w:r>
          </w:p>
        </w:tc>
        <w:tc>
          <w:tcPr>
            <w:tcW w:type="dxa" w:w="21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HTTP 200，8 条引用</w:t>
            </w:r>
          </w:p>
        </w:tc>
      </w:tr>
      <w:tr>
        <w:trPr/>
        <w:tc>
          <w:tcPr>
            <w:tcW w:type="dxa" w:w="23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结果分析助手</w:t>
            </w:r>
          </w:p>
        </w:tc>
        <w:tc>
          <w:tcPr>
            <w:tcW w:type="dxa" w:w="49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指标、效应量、置信区间、显著性和结论边界</w:t>
            </w:r>
          </w:p>
        </w:tc>
        <w:tc>
          <w:tcPr>
            <w:tcW w:type="dxa" w:w="21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HTTP 200，4 条引用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color w:val="172033"/>
          <w:sz w:val="21"/>
        </w:rPr>
        <w:t>前端新增共享 AgentKnowledgePanel，嵌入 PaperRead、ResearchDecompose、ExperimentRoadmap、CodeReproduce、ResultAnalyze。组件先 GET /agents 按 category 匹配，再 POST /agents/{agent_id}/ask；页面展示 knowledge_used、回答、检索编号、来源标题、原文片段、官方链接和相关度。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72033"/>
          <w:sz w:val="21"/>
        </w:rPr>
        <w:t>有 LLM/XF 配置：把有长度上限的证据交给模型，要求每个实质结论使用有效 [n] 引用。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72033"/>
          <w:sz w:val="21"/>
        </w:rPr>
        <w:t>无 LLM 配置或模型失败：返回带 [n] 的可信证据摘录，功能仍可验证，不伪装成生成式答案。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72033"/>
          <w:sz w:val="21"/>
        </w:rPr>
        <w:t>无检索证据：明确说明资料不足，拒绝编造。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72033"/>
          <w:sz w:val="21"/>
        </w:rPr>
        <w:t>公共系统集合所有登录用户可读；普通用户写入、更新、删除均返回 403；管理员可维护。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72033"/>
          <w:sz w:val="21"/>
        </w:rPr>
        <w:t>用户个人集合仍按所有权隔离；直接调用搜索 RPC 的 anon/authenticated 角色被拒绝。</w:t>
      </w:r>
    </w:p>
    <w:p>
      <w:pPr>
        <w:pStyle w:val="Heading1"/>
      </w:pPr>
      <w:r>
        <w:t>6. 认证为什么曾经失败，现在是否接好</w:t>
      </w:r>
    </w:p>
    <w:p>
      <w:pPr>
        <w:spacing w:before="120" w:after="160" w:line="288" w:lineRule="auto"/>
        <w:ind w:left="173" w:right="173"/>
        <w:shd w:fill="EAF5EE"/>
      </w:pPr>
      <w:r>
        <w:rPr>
          <w:rFonts w:ascii="Calibri" w:hAnsi="Calibri" w:eastAsia="Microsoft YaHei"/>
          <w:b/>
          <w:color w:val="1F4D78"/>
          <w:sz w:val="21"/>
        </w:rPr>
        <w:t>验证结论：</w:t>
      </w:r>
      <w:r>
        <w:rPr>
          <w:rFonts w:ascii="Calibri" w:hAnsi="Calibri" w:eastAsia="Microsoft YaHei"/>
          <w:color w:val="172033"/>
          <w:sz w:val="21"/>
        </w:rPr>
        <w:t>Supabase Auth 健康检查 200；临时已确认账户登录 200；/users/me 200；普通 Gmail 注册 200 并返回“需要邮箱确认”。认证和数据库均已接通。</w:t>
      </w:r>
    </w:p>
    <w:p>
      <w:r>
        <w:rPr>
          <w:rFonts w:ascii="Calibri" w:hAnsi="Calibri" w:eastAsia="Microsoft YaHei"/>
          <w:color w:val="172033"/>
          <w:sz w:val="21"/>
        </w:rPr>
        <w:t>注册曾出现 429，是 Supabase 默认邮件服务的发送频率限制，不是数据库表未连接。登录失败通常是邮箱尚未点击确认链接、密码不一致，或用户用另一个邮箱注册。密码不可从数据库读取。正式环境应配置自有 SMTP；本地测试应使用真实邮箱、完成确认后再登录。</w:t>
      </w:r>
    </w:p>
    <w:p>
      <w:pPr>
        <w:pStyle w:val="Heading1"/>
      </w:pPr>
      <w:r>
        <w:t>7. 已完成验证记录</w:t>
      </w:r>
    </w:p>
    <w:tbl>
      <w:tblPr>
        <w:tblStyle w:val="TableGrid"/>
        <w:tblW w:type="dxa" w:w="93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1150"/>
        <w:gridCol w:w="5700"/>
      </w:tblGrid>
      <w:tr>
        <w:trPr>
          <w:tblHeader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验证项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结果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证据</w:t>
            </w:r>
          </w:p>
        </w:tc>
      </w:tr>
      <w:tr>
        <w:trPr/>
        <w:tc>
          <w:tcPr>
            <w:tcW w:type="dxa" w:w="245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006 / 007 / 008</w:t>
            </w:r>
          </w:p>
        </w:tc>
        <w:tc>
          <w:tcPr>
            <w:tcW w:type="dxa" w:w="1150"/>
            <w:shd w:fill="EAF5EE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通过</w:t>
            </w:r>
          </w:p>
        </w:tc>
        <w:tc>
          <w:tcPr>
            <w:tcW w:type="dxa" w:w="57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远程表、函数、RLS 与两个私有 bucket 可访问</w:t>
            </w:r>
          </w:p>
        </w:tc>
      </w:tr>
      <w:tr>
        <w:trPr/>
        <w:tc>
          <w:tcPr>
            <w:tcW w:type="dxa" w:w="245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数据库现状</w:t>
            </w:r>
          </w:p>
        </w:tc>
        <w:tc>
          <w:tcPr>
            <w:tcW w:type="dxa" w:w="1150"/>
            <w:shd w:fill="EAF5EE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通过</w:t>
            </w:r>
          </w:p>
        </w:tc>
        <w:tc>
          <w:tcPr>
            <w:tcW w:type="dxa" w:w="57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2 profiles、5 agents、1 collection、12 documents、12 chunks</w:t>
            </w:r>
          </w:p>
        </w:tc>
      </w:tr>
      <w:tr>
        <w:trPr/>
        <w:tc>
          <w:tcPr>
            <w:tcW w:type="dxa" w:w="245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单元测试</w:t>
            </w:r>
          </w:p>
        </w:tc>
        <w:tc>
          <w:tcPr>
            <w:tcW w:type="dxa" w:w="1150"/>
            <w:shd w:fill="EAF5EE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通过</w:t>
            </w:r>
          </w:p>
        </w:tc>
        <w:tc>
          <w:tcPr>
            <w:tcW w:type="dxa" w:w="57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13/13：切块、去重辅助、引用、防编造、公共/私有授权</w:t>
            </w:r>
          </w:p>
        </w:tc>
      </w:tr>
      <w:tr>
        <w:trPr/>
        <w:tc>
          <w:tcPr>
            <w:tcW w:type="dxa" w:w="245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前端构建</w:t>
            </w:r>
          </w:p>
        </w:tc>
        <w:tc>
          <w:tcPr>
            <w:tcW w:type="dxa" w:w="1150"/>
            <w:shd w:fill="EAF5EE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通过</w:t>
            </w:r>
          </w:p>
        </w:tc>
        <w:tc>
          <w:tcPr>
            <w:tcW w:type="dxa" w:w="57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TypeScript + Vite 生产构建完成</w:t>
            </w:r>
          </w:p>
        </w:tc>
      </w:tr>
      <w:tr>
        <w:trPr/>
        <w:tc>
          <w:tcPr>
            <w:tcW w:type="dxa" w:w="245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双账户 E2E</w:t>
            </w:r>
          </w:p>
        </w:tc>
        <w:tc>
          <w:tcPr>
            <w:tcW w:type="dxa" w:w="1150"/>
            <w:shd w:fill="EAF5EE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通过</w:t>
            </w:r>
          </w:p>
        </w:tc>
        <w:tc>
          <w:tcPr>
            <w:tcW w:type="dxa" w:w="57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登录、入库、去重、搜索、问答、Storage、RLS、删除清理</w:t>
            </w:r>
          </w:p>
        </w:tc>
      </w:tr>
      <w:tr>
        <w:trPr/>
        <w:tc>
          <w:tcPr>
            <w:tcW w:type="dxa" w:w="245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五智能体 E2E</w:t>
            </w:r>
          </w:p>
        </w:tc>
        <w:tc>
          <w:tcPr>
            <w:tcW w:type="dxa" w:w="1150"/>
            <w:shd w:fill="EAF5EE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通过</w:t>
            </w:r>
          </w:p>
        </w:tc>
        <w:tc>
          <w:tcPr>
            <w:tcW w:type="dxa" w:w="57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5/5 HTTP 200；共 33 条引用；检索/引用审计写入成功</w:t>
            </w:r>
          </w:p>
        </w:tc>
      </w:tr>
      <w:tr>
        <w:trPr/>
        <w:tc>
          <w:tcPr>
            <w:tcW w:type="dxa" w:w="245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路由检查</w:t>
            </w:r>
          </w:p>
        </w:tc>
        <w:tc>
          <w:tcPr>
            <w:tcW w:type="dxa" w:w="1150"/>
            <w:shd w:fill="EAF5EE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通过</w:t>
            </w:r>
          </w:p>
        </w:tc>
        <w:tc>
          <w:tcPr>
            <w:tcW w:type="dxa" w:w="57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48 个操作、41 条路径、无重复，agent ask 已进入 OpenAPI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8. 用户如何亲自验证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72033"/>
          <w:sz w:val="21"/>
        </w:rPr>
        <w:t>双击仓库根目录“启动_SciPilot本地网页_双击运行.cmd”。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72033"/>
          <w:sz w:val="21"/>
        </w:rPr>
        <w:t>在 Edge 打开 http://127.0.0.1:5173/；接口文档为 http://127.0.0.1:8000/docs。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72033"/>
          <w:sz w:val="21"/>
        </w:rPr>
        <w:t>用真实邮箱注册，点击 Supabase 确认邮件后登录；已有账户必须使用对应密码。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72033"/>
          <w:sz w:val="21"/>
        </w:rPr>
        <w:t>进入“知识库”，确认看到“软件工程公开知识入门”和 12 篇 ready 文档。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72033"/>
          <w:sz w:val="21"/>
        </w:rPr>
        <w:t>搜索“随机种子”“效应量”“RLS”或“CodeBERT”，确认出现来源片段和官方链接。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72033"/>
          <w:sz w:val="21"/>
        </w:rPr>
        <w:t>依次进入论文精读、问题拆解、实验规划、代码复现、结果分析，在每页知识库智能体中提问。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72033"/>
          <w:sz w:val="21"/>
        </w:rPr>
        <w:t>确认回答顶部显示“已命中知识库”，正文含 [1]，下方显示引用卡片和检索记录编号。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72033"/>
          <w:sz w:val="21"/>
        </w:rPr>
        <w:t>创建个人集合，粘贴文本或上传 PDF/TXT/MD，再验证去重、搜索、引用问答和删除。</w:t>
      </w:r>
    </w:p>
    <w:p>
      <w:pPr>
        <w:pStyle w:val="Heading1"/>
      </w:pPr>
      <w:r>
        <w:t>9. 当前项目做到什么程度</w:t>
      </w:r>
    </w:p>
    <w:tbl>
      <w:tblPr>
        <w:tblStyle w:val="TableGrid"/>
        <w:tblW w:type="dxa" w:w="93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300"/>
        <w:gridCol w:w="550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范围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当前程度</w:t>
            </w:r>
          </w:p>
        </w:tc>
        <w:tc>
          <w:tcPr>
            <w:tcW w:type="dxa" w:w="5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说明</w:t>
            </w:r>
          </w:p>
        </w:tc>
      </w:tr>
      <w:tr>
        <w:trPr/>
        <w:tc>
          <w:tcPr>
            <w:tcW w:type="dxa" w:w="25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数据库/知识库闭环</w:t>
            </w:r>
          </w:p>
        </w:tc>
        <w:tc>
          <w:tcPr>
            <w:tcW w:type="dxa" w:w="1300"/>
            <w:shd w:fill="EAF5EE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完成</w:t>
            </w:r>
          </w:p>
        </w:tc>
        <w:tc>
          <w:tcPr>
            <w:tcW w:type="dxa" w:w="55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本次验收范围已经完成，可本地运行并连接真实 Supabase</w:t>
            </w:r>
          </w:p>
        </w:tc>
      </w:tr>
      <w:tr>
        <w:trPr/>
        <w:tc>
          <w:tcPr>
            <w:tcW w:type="dxa" w:w="25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五智能体知识调用</w:t>
            </w:r>
          </w:p>
        </w:tc>
        <w:tc>
          <w:tcPr>
            <w:tcW w:type="dxa" w:w="1300"/>
            <w:shd w:fill="EAF5EE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完成</w:t>
            </w:r>
          </w:p>
        </w:tc>
        <w:tc>
          <w:tcPr>
            <w:tcW w:type="dxa" w:w="55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五类前端入口和统一后端检索问答均已实测</w:t>
            </w:r>
          </w:p>
        </w:tc>
      </w:tr>
      <w:tr>
        <w:trPr/>
        <w:tc>
          <w:tcPr>
            <w:tcW w:type="dxa" w:w="25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README MVP 数据能力</w:t>
            </w:r>
          </w:p>
        </w:tc>
        <w:tc>
          <w:tcPr>
            <w:tcW w:type="dxa" w:w="1300"/>
            <w:shd w:fill="EAF5EE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完成</w:t>
            </w:r>
          </w:p>
        </w:tc>
        <w:tc>
          <w:tcPr>
            <w:tcW w:type="dxa" w:w="55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数据层、认证、持久化、文件存储、研究记忆、知识图谱已落地</w:t>
            </w:r>
          </w:p>
        </w:tc>
      </w:tr>
      <w:tr>
        <w:trPr/>
        <w:tc>
          <w:tcPr>
            <w:tcW w:type="dxa" w:w="25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正式模型质量</w:t>
            </w:r>
          </w:p>
        </w:tc>
        <w:tc>
          <w:tcPr>
            <w:tcW w:type="dxa" w:w="1300"/>
            <w:shd w:fill="FDECEC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待配置</w:t>
            </w:r>
          </w:p>
        </w:tc>
        <w:tc>
          <w:tcPr>
            <w:tcW w:type="dxa" w:w="55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需团队提供 LLM/Embedding/XF 正式密钥、模型和成本策略</w:t>
            </w:r>
          </w:p>
        </w:tc>
      </w:tr>
      <w:tr>
        <w:trPr/>
        <w:tc>
          <w:tcPr>
            <w:tcW w:type="dxa" w:w="25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生产认证</w:t>
            </w:r>
          </w:p>
        </w:tc>
        <w:tc>
          <w:tcPr>
            <w:tcW w:type="dxa" w:w="1300"/>
            <w:shd w:fill="FDECEC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待配置</w:t>
            </w:r>
          </w:p>
        </w:tc>
        <w:tc>
          <w:tcPr>
            <w:tcW w:type="dxa" w:w="55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需自有 SMTP、正式域名、Site URL 和 Redirect URL</w:t>
            </w:r>
          </w:p>
        </w:tc>
      </w:tr>
      <w:tr>
        <w:trPr/>
        <w:tc>
          <w:tcPr>
            <w:tcW w:type="dxa" w:w="25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高级文档处理</w:t>
            </w:r>
          </w:p>
        </w:tc>
        <w:tc>
          <w:tcPr>
            <w:tcW w:type="dxa" w:w="1300"/>
            <w:shd w:fill="FDECEC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待开发</w:t>
            </w:r>
          </w:p>
        </w:tc>
        <w:tc>
          <w:tcPr>
            <w:tcW w:type="dxa" w:w="55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扫描 PDF OCR、异步任务队列、页码/坐标级引用</w:t>
            </w:r>
          </w:p>
        </w:tc>
      </w:tr>
      <w:tr>
        <w:trPr/>
        <w:tc>
          <w:tcPr>
            <w:tcW w:type="dxa" w:w="25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README 长期路线</w:t>
            </w:r>
          </w:p>
        </w:tc>
        <w:tc>
          <w:tcPr>
            <w:tcW w:type="dxa" w:w="1300"/>
            <w:shd w:fill="FDECEC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72033"/>
                <w:sz w:val="18"/>
              </w:rPr>
              <w:t>待开发</w:t>
            </w:r>
          </w:p>
        </w:tc>
        <w:tc>
          <w:tcPr>
            <w:tcW w:type="dxa" w:w="55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流式响应、自动任务转交/编排、云部署、Agent 生态</w:t>
            </w:r>
          </w:p>
        </w:tc>
      </w:tr>
    </w:tbl>
    <w:p>
      <w:pPr>
        <w:spacing w:after="20"/>
      </w:pPr>
    </w:p>
    <w:p>
      <w:pPr>
        <w:pStyle w:val="Heading1"/>
      </w:pPr>
      <w:r>
        <w:t>10. GitHub 本次更新与清理</w:t>
      </w:r>
    </w:p>
    <w:p>
      <w:r>
        <w:rPr>
          <w:rFonts w:ascii="Calibri" w:hAnsi="Calibri" w:eastAsia="Microsoft YaHei"/>
          <w:color w:val="172033"/>
          <w:sz w:val="21"/>
        </w:rPr>
        <w:t>本次采用增量合并，不覆盖远端仓库。保留 README、Agent 目录、001—005 迁移和原有前端；新增或更新以下内容：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72033"/>
          <w:sz w:val="21"/>
        </w:rPr>
        <w:t>supabase/migrations/006_workspace_data_layer.sql、007_seed_public_research_catalog.sql、008_knowledge_base.sql。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72033"/>
          <w:sz w:val="21"/>
        </w:rPr>
        <w:t>backend/api/：鉴权依赖、schemas 和统一 routes；routes.py 最终只有一份，不存在重复文件。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72033"/>
          <w:sz w:val="21"/>
        </w:rPr>
        <w:t>backend/services/：Supabase、知识库切块/向量、知识智能体、LLM/XF 服务。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72033"/>
          <w:sz w:val="21"/>
        </w:rPr>
        <w:t>backend/scripts/：远程检查、12 条种子知识、双账户 E2E、五智能体 E2E。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72033"/>
          <w:sz w:val="21"/>
        </w:rPr>
        <w:t>backend/tests/：知识库和智能体授权/引用的 13 个测试。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72033"/>
          <w:sz w:val="21"/>
        </w:rPr>
        <w:t>frontend/src/components/AgentKnowledgePanel.tsx 和 5 个智能体页面；KnowledgeBase、KnowledgeGraph、API、类型、认证与数据页面。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72033"/>
          <w:sz w:val="21"/>
        </w:rPr>
        <w:t>docs/：数据库指南、知识库指南、GitHub 清单和本交付 Word；根目录 Windows 启动脚本。</w:t>
      </w:r>
    </w:p>
    <w:p>
      <w:pPr>
        <w:spacing w:before="120" w:after="160" w:line="288" w:lineRule="auto"/>
        <w:ind w:left="173" w:right="173"/>
        <w:shd w:fill="FFF4D6"/>
      </w:pPr>
      <w:r>
        <w:rPr>
          <w:rFonts w:ascii="Calibri" w:hAnsi="Calibri" w:eastAsia="Microsoft YaHei"/>
          <w:b/>
          <w:color w:val="1F4D78"/>
          <w:sz w:val="21"/>
        </w:rPr>
        <w:t>清理：</w:t>
      </w:r>
      <w:r>
        <w:rPr>
          <w:rFonts w:ascii="Calibri" w:hAnsi="Calibri" w:eastAsia="Microsoft YaHei"/>
          <w:color w:val="172033"/>
          <w:sz w:val="21"/>
        </w:rPr>
        <w:t>删除未被任何页面引用、且依赖旧 agentAPI/chat 合同并导致 TypeScript 构建失败的 AgentChatPanel.tsx；由 AgentKnowledgePanel 取代。不提交旧版数据库交付 Word、frontend/dist、node_modules、work、.repo-sync、缓存、日志、测试账户或 .env。不会删除远端 README、Agent 或既有迁移。</w:t>
      </w:r>
    </w:p>
    <w:p>
      <w:pPr>
        <w:pStyle w:val="Heading1"/>
      </w:pPr>
      <w:r>
        <w:t>11. 安全与后续动作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72033"/>
          <w:sz w:val="21"/>
        </w:rPr>
        <w:t>用户曾在聊天中发送 Supabase Secret Key。完成交接后必须在 Supabase Dashboard 轮换，并更新 backend/.env 或部署平台 Secret。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72033"/>
          <w:sz w:val="21"/>
        </w:rPr>
        <w:t>Publishable Key 可公开但仍建议只按架构需要使用；Secret Key 永远不能进入 VITE_*、前端包、GitHub 或截图。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72033"/>
          <w:sz w:val="21"/>
        </w:rPr>
        <w:t>系统当前使用 full-text 模式，12 个分块没有向量；这不是不可用。配置 1536 维 embedding 后可升级为 hybrid。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72033"/>
          <w:sz w:val="21"/>
        </w:rPr>
        <w:t>生产上线前配置 SMTP、HTTPS、严格 CORS、备份恢复、日志告警、速率限制和 CI/CD。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72033"/>
          <w:sz w:val="21"/>
        </w:rPr>
        <w:t>后续公开知识继续保存题录、官方链接和原创摘要；上传全文前必须确认权利和数据处理授权。</w:t>
      </w:r>
    </w:p>
    <w:p>
      <w:pPr>
        <w:pStyle w:val="Heading1"/>
      </w:pPr>
      <w:r>
        <w:t>12. 主要官方来源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72033"/>
          <w:sz w:val="21"/>
        </w:rPr>
        <w:t>SciPilot GitHub：https://github.com/telitor/SciPilot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72033"/>
          <w:sz w:val="21"/>
        </w:rPr>
        <w:t>IEEE CS SWEBOK：https://www.computer.org/education/bodies-of-knowledge/software-engineering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72033"/>
          <w:sz w:val="21"/>
        </w:rPr>
        <w:t>NIST SSDF：https://csrc.nist.gov/pubs/sp/800/218/final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72033"/>
          <w:sz w:val="21"/>
        </w:rPr>
        <w:t>NIST Engineering Statistics Handbook：https://www.itl.nist.gov/div898/handbook/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72033"/>
          <w:sz w:val="21"/>
        </w:rPr>
        <w:t>GitHub Actions：https://docs.github.com/en/actions/get-started/quickstart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72033"/>
          <w:sz w:val="21"/>
        </w:rPr>
        <w:t>ISTQB CTFL：https://www.istqb.org/help/ctfl-v40/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72033"/>
          <w:sz w:val="21"/>
        </w:rPr>
        <w:t>Microsoft CodeBERT：https://github.com/microsoft/CodeBERT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72033"/>
          <w:sz w:val="21"/>
        </w:rPr>
        <w:t>CodeSearchNet / Defects4J / SWE-bench：对应官方 GitHub 仓库，完整 URL 已写入每条知识 metadata。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573"/>
        <w:sz w:val="18"/>
      </w:rPr>
      <w:t xml:space="preserve">第 </w:t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/>
        <w:color w:val="5B6573"/>
        <w:sz w:val="18"/>
      </w:rPr>
      <w:t>SciPilot · 数据库与知识库最终交付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 w:trackRevisions="false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SciPilot 知识库与数据库实施交付说明</dc:title>
  <dc:subject>README 对齐、Supabase、知识库、五智能体、验收与 GitHub 更新</dc:subject>
  <dc:creator>SciPilot 项目组</dc:creator>
  <cp:keywords>SciPilot, Supabase, PostgreSQL, RLS, Knowledge Base, RAG, FastAPI, React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