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等线"/>
          <w:b/>
          <w:color w:val="2E74B5"/>
          <w:sz w:val="21"/>
        </w:rPr>
        <w:t>辅助评审材料</w:t>
      </w:r>
    </w:p>
    <w:p>
      <w:pPr>
        <w:spacing w:after="80"/>
        <w:jc w:val="center"/>
      </w:pPr>
      <w:r>
        <w:rPr>
          <w:rFonts w:ascii="Calibri" w:hAnsi="Calibri" w:eastAsia="等线"/>
          <w:b/>
          <w:color w:val="0B2545"/>
          <w:sz w:val="48"/>
        </w:rPr>
        <w:t>SciPilot 工程验证与证据索引</w:t>
      </w:r>
    </w:p>
    <w:p>
      <w:pPr>
        <w:spacing w:after="360"/>
        <w:jc w:val="center"/>
      </w:pPr>
      <w:r>
        <w:rPr>
          <w:rFonts w:ascii="Calibri" w:hAnsi="Calibri" w:eastAsia="等线"/>
          <w:color w:val="5B6573"/>
          <w:sz w:val="25"/>
        </w:rPr>
        <w:t>用于快速核查功能、代码、测试、安全与复现路径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/>
                <w:color w:val="0B2545"/>
                <w:sz w:val="19"/>
              </w:rPr>
              <w:t>仓库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9"/>
              </w:rPr>
              <w:t>https://github.com/telitor/SciPilot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/>
                <w:color w:val="0B2545"/>
                <w:sz w:val="19"/>
              </w:rPr>
              <w:t>本轮核验提交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9"/>
              </w:rPr>
              <w:t>5b826a7（2026-08-22，本机 main）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/>
                <w:color w:val="0B2545"/>
                <w:sz w:val="19"/>
              </w:rPr>
              <w:t>核验日期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9"/>
              </w:rPr>
              <w:t>2026-08-22｜Asia/Shanghai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/>
                <w:color w:val="0B2545"/>
                <w:sz w:val="19"/>
              </w:rPr>
              <w:t>证据原则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9"/>
              </w:rPr>
              <w:t>本轮实测优先；旧报告仅作历史参考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0B2545"/>
                <w:sz w:val="20"/>
              </w:rPr>
              <w:t xml:space="preserve">重要限制  </w:t>
            </w:r>
            <w:r>
              <w:rPr>
                <w:rFonts w:ascii="Calibri" w:hAnsi="Calibri" w:eastAsia="等线"/>
                <w:color w:val="0B2545"/>
                <w:sz w:val="20"/>
              </w:rPr>
              <w:t>本材料不是用户效果报告。自动化测试、构建和静态检查不能替代真实教师/学生试用、外部服务周期性验收或生产 SLA。</w:t>
            </w:r>
          </w:p>
        </w:tc>
      </w:tr>
    </w:tbl>
    <w:p/>
    <w:p>
      <w:pPr>
        <w:pStyle w:val="Heading1"/>
      </w:pPr>
      <w:r>
        <w:t>一、作品能力—证据映射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6"/>
              </w:rPr>
              <w:t>能力</w:t>
            </w:r>
          </w:p>
        </w:tc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6"/>
              </w:rPr>
              <w:t>实现入口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6"/>
              </w:rPr>
              <w:t>可核验对象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6"/>
              </w:rPr>
              <w:t>统一科研项目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frontend/src/pages/Projects；backend/api/routes.py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项目归属、阶段推进、资产与记忆。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6"/>
              </w:rPr>
              <w:t>论文精读与页级证据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PaperRead；pdf_extraction_service.py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文本/OCR、页码坐标、报告与追问。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6"/>
              </w:rPr>
              <w:t>问题拆解与实验路线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ResearchDecompose；ExperimentRoadmap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结构化产物、持久任务、上游确认。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6"/>
              </w:rPr>
              <w:t>代码复现与受控执行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CodeReproduce；sandbox_execution_service.py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仓库分析、白名单命令、资源与网络限制、结果文件。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6"/>
              </w:rPr>
              <w:t>结果分析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ResultAnalyze；evaluation_service.py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上传结果、统计、图表、结论边界。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6"/>
              </w:rPr>
              <w:t>知识库与 RAG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KnowledgeBase；xunfei_knowledge_base_service.py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检索、重排、引用、租户隔离与降级。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6"/>
              </w:rPr>
              <w:t>外部服务可靠性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external_service_reliability.py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超时、重试安全、熔断、错误脱敏、运行摘要。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6"/>
              </w:rPr>
              <w:t>生产部署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deploy/compose.yaml；deploy/manage.py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预检、健康、不可变标签、日志轮转和回滚。</w:t>
            </w:r>
          </w:p>
        </w:tc>
      </w:tr>
    </w:tbl>
    <w:p>
      <w:pPr>
        <w:spacing w:after="0"/>
      </w:pPr>
    </w:p>
    <w:p>
      <w:pPr>
        <w:pStyle w:val="Heading1"/>
      </w:pPr>
      <w:r>
        <w:t>二、本轮验证记录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100"/>
        <w:gridCol w:w="4260"/>
      </w:tblGrid>
      <w:tr>
        <w:trPr>
          <w:tblHeader w:val="true"/>
        </w:trPr>
        <w:tc>
          <w:tcPr>
            <w:tcW w:type="dxa" w:w="5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7"/>
              </w:rPr>
              <w:t>命令/检查</w:t>
            </w:r>
          </w:p>
        </w:tc>
        <w:tc>
          <w:tcPr>
            <w:tcW w:type="dxa" w:w="4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7"/>
              </w:rPr>
              <w:t>结果</w:t>
            </w:r>
          </w:p>
        </w:tc>
      </w:tr>
      <w:t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python -m unittest discover -s backend\tests -p test_*.py -v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共运行 244 项：243 通过；1 项因 Windows 符号链接权限跳过。</w:t>
            </w:r>
          </w:p>
        </w:tc>
      </w:tr>
      <w:t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npm --prefix frontend run type-check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通过。</w:t>
            </w:r>
          </w:p>
        </w:tc>
      </w:tr>
      <w:t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npm --prefix frontend run lint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通过。</w:t>
            </w:r>
          </w:p>
        </w:tc>
      </w:tr>
      <w:t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npm run build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通过；Vite 生产构建与 scripts/verify-bundle.mjs 校验通过。</w:t>
            </w:r>
          </w:p>
        </w:tc>
      </w:tr>
      <w:t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python backend/scripts/repository_quality_gate.py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通过；323 个仓库文件、34 个迁移。</w:t>
            </w:r>
          </w:p>
        </w:tc>
      </w:tr>
      <w:t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git diff --check / git status --short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无差异错误；生成材料前工作区干净。</w:t>
            </w:r>
          </w:p>
        </w:tc>
      </w:tr>
      <w:tr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npm run test:e2e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未完成：外置 node_modules 缺少 @playwright/test。</w:t>
            </w:r>
          </w:p>
        </w:tc>
      </w:tr>
    </w:tbl>
    <w:p>
      <w:pPr>
        <w:spacing w:after="0"/>
      </w:pPr>
    </w:p>
    <w:p>
      <w:pPr>
        <w:pStyle w:val="Heading1"/>
      </w:pPr>
      <w:r>
        <w:t>三、复现与安全边界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sz w:val="21"/>
        </w:rPr>
        <w:t>代码包排除 KnowledgeBase/Papers 下约 292 MB 的第三方论文原件；论文清单与上传方式见仓库说明，评审可按合法来源另行准备。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sz w:val="21"/>
        </w:rPr>
        <w:t>真实 .env、API Key、Secret、Repo ID、Model ID/Resource ID、运行状态和日志不进入提交包。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sz w:val="21"/>
        </w:rPr>
        <w:t>前端仅配置 VITE_API_BASE_URL；Supabase、MaaS、星辰 Agent 和 ChatDoc 参数仅由后端注入。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sz w:val="21"/>
        </w:rPr>
        <w:t>生产发布必须使用 deploy/manage.py preflight/release/verify/rollback，不把开发启动方式直接当作生产方案。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sz w:val="21"/>
        </w:rPr>
        <w:t>受控执行默认关闭；生产 Web 栈不挂载 Docker socket，执行 worker 需独立安全评审。</w:t>
      </w:r>
    </w:p>
    <w:p>
      <w:pPr>
        <w:pStyle w:val="Heading1"/>
      </w:pPr>
      <w:r>
        <w:t>四、评分维度对照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140"/>
        <w:gridCol w:w="372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6"/>
              </w:rPr>
              <w:t>评分维度</w:t>
            </w:r>
          </w:p>
        </w:tc>
        <w:tc>
          <w:tcPr>
            <w:tcW w:type="dxa" w:w="41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6"/>
              </w:rPr>
              <w:t>当前可展示证据</w:t>
            </w:r>
          </w:p>
        </w:tc>
        <w:tc>
          <w:tcPr>
            <w:tcW w:type="dxa" w:w="3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6"/>
              </w:rPr>
              <w:t>提交前补强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6"/>
              </w:rPr>
              <w:t>作品完成度 10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前后端主线、持久任务、版本、部署与质量门禁。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完成外网 Demo、验收账号与演示视频。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6"/>
              </w:rPr>
              <w:t>创意实用度 20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聚焦软件工程科研训练流程断裂。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补真实教师/学生痛点与使用记录。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6"/>
              </w:rPr>
              <w:t>技术实现度 20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五类 Agent、RAG、微调模型、Supabase、受控执行。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提供架构截图、ServiceID/部署信息（不含密钥）。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6"/>
              </w:rPr>
              <w:t>技术先进性 10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证据图谱、人工确认、持久任务、可靠性治理。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与通用聊天/RAG 工具做同任务对比。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6"/>
              </w:rPr>
              <w:t>内容质量度 20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页级证据、引用校验、离线质量回归。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≥3 个典型问题及标准答案对比。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6"/>
              </w:rPr>
              <w:t>商业化潜力 10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可扩展到计算机类课程与科研训练。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形成院系部署、课程嵌入与服务边界方案。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6"/>
              </w:rPr>
              <w:t>用户认可度 10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当前无可提交真人证据。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6"/>
              </w:rPr>
              <w:t>≥2 名真实目标用户；有条件时扩展 50+ 人规模。</w:t>
            </w:r>
          </w:p>
        </w:tc>
      </w:tr>
    </w:tbl>
    <w:p>
      <w:pPr>
        <w:spacing w:after="0"/>
      </w:pPr>
    </w:p>
    <w:p>
      <w:pPr>
        <w:pStyle w:val="Heading1"/>
      </w:pPr>
      <w:r>
        <w:t>五、附件建议索引</w:t>
      </w:r>
    </w:p>
    <w:p>
      <w:pPr>
        <w:spacing w:after="100" w:line="288" w:lineRule="auto"/>
        <w:numPr>
          <w:ilvl w:val="0"/>
          <w:numId w:val="11"/>
        </w:numPr>
      </w:pPr>
      <w:r>
        <w:rPr>
          <w:rFonts w:ascii="Calibri" w:hAnsi="Calibri" w:eastAsia="等线"/>
          <w:sz w:val="21"/>
        </w:rPr>
        <w:t>系统架构图与部署拓扑截图。</w:t>
      </w:r>
    </w:p>
    <w:p>
      <w:pPr>
        <w:spacing w:after="100" w:line="288" w:lineRule="auto"/>
        <w:numPr>
          <w:ilvl w:val="0"/>
          <w:numId w:val="11"/>
        </w:numPr>
      </w:pPr>
      <w:r>
        <w:rPr>
          <w:rFonts w:ascii="Calibri" w:hAnsi="Calibri" w:eastAsia="等线"/>
          <w:sz w:val="21"/>
        </w:rPr>
        <w:t>后端测试、前端构建、质量门禁的完整终端记录（注意遮挡路径中的个人信息）。</w:t>
      </w:r>
    </w:p>
    <w:p>
      <w:pPr>
        <w:spacing w:after="100" w:line="288" w:lineRule="auto"/>
        <w:numPr>
          <w:ilvl w:val="0"/>
          <w:numId w:val="11"/>
        </w:numPr>
      </w:pPr>
      <w:r>
        <w:rPr>
          <w:rFonts w:ascii="Calibri" w:hAnsi="Calibri" w:eastAsia="等线"/>
          <w:sz w:val="21"/>
        </w:rPr>
        <w:t>3 个典型问题的输入、引用、输出和人工判定截图。</w:t>
      </w:r>
    </w:p>
    <w:p>
      <w:pPr>
        <w:spacing w:after="100" w:line="288" w:lineRule="auto"/>
        <w:numPr>
          <w:ilvl w:val="0"/>
          <w:numId w:val="11"/>
        </w:numPr>
      </w:pPr>
      <w:r>
        <w:rPr>
          <w:rFonts w:ascii="Calibri" w:hAnsi="Calibri" w:eastAsia="等线"/>
          <w:sz w:val="21"/>
        </w:rPr>
        <w:t>2 名以上真实目标用户的授权反馈、量表和任务记录。</w:t>
      </w:r>
    </w:p>
    <w:p>
      <w:pPr>
        <w:spacing w:after="100" w:line="288" w:lineRule="auto"/>
        <w:numPr>
          <w:ilvl w:val="0"/>
          <w:numId w:val="11"/>
        </w:numPr>
      </w:pPr>
      <w:r>
        <w:rPr>
          <w:rFonts w:ascii="Calibri" w:hAnsi="Calibri" w:eastAsia="等线"/>
          <w:sz w:val="21"/>
        </w:rPr>
        <w:t>3 分钟真实系统交互视频及时间轴说明。</w:t>
      </w:r>
    </w:p>
    <w:p>
      <w:pPr>
        <w:spacing w:after="100" w:line="288" w:lineRule="auto"/>
        <w:numPr>
          <w:ilvl w:val="0"/>
          <w:numId w:val="11"/>
        </w:numPr>
      </w:pPr>
      <w:r>
        <w:rPr>
          <w:rFonts w:ascii="Calibri" w:hAnsi="Calibri" w:eastAsia="等线"/>
          <w:sz w:val="21"/>
        </w:rPr>
        <w:t>源代码包 SHA-256、Git 提交号、依赖锁与复现说明。</w:t>
      </w:r>
    </w:p>
    <w:p>
      <w:pPr>
        <w:pStyle w:val="Heading1"/>
      </w:pPr>
      <w:r>
        <w:t>六、团队提交前操作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color w:val="9B1C1C"/>
          <w:sz w:val="21"/>
        </w:rPr>
        <w:t>【团队完成】补齐 E2E 依赖并重跑浏览器测试；如仍失败，保留日志并在报告中解释。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color w:val="9B1C1C"/>
          <w:sz w:val="21"/>
        </w:rPr>
        <w:t>【团队完成】确认公开 Demo 的当前 Git SHA 与提交包一致。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color w:val="9B1C1C"/>
          <w:sz w:val="21"/>
        </w:rPr>
        <w:t>【团队完成】逐项核查 7 个编号文件名称、格式、大小和压缩包命名。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color w:val="9B1C1C"/>
          <w:sz w:val="21"/>
        </w:rPr>
        <w:t>【团队完成】将签署版 02 转 PDF，将 06 中所有模板字段替换为真实记录。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等线"/>
        <w:color w:val="5B6573"/>
        <w:sz w:val="18"/>
      </w:rPr>
      <w:t xml:space="preserve">第 </w:t>
    </w:r>
    <w:fldSimple w:instr="PAGE">
      <w:r>
        <w:t>1</w:t>
      </w:r>
    </w:fldSimple>
    <w:r>
      <w:rPr>
        <w:rFonts w:ascii="Calibri" w:hAnsi="Calibri" w:eastAsia="等线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等线"/>
        <w:b/>
        <w:color w:val="5B6573"/>
        <w:sz w:val="17"/>
      </w:rPr>
      <w:t>XH-202620｜SciPilot｜工程验证与评审证据索引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