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Calibri" w:hAnsi="Calibri" w:eastAsia="Microsoft YaHei"/>
          <w:b/>
          <w:color w:val="2E74B5"/>
          <w:sz w:val="20"/>
        </w:rPr>
        <w:t>FINAL TECHNICAL DELIVERY</w:t>
      </w:r>
    </w:p>
    <w:p>
      <w:pPr>
        <w:jc w:val="center"/>
      </w:pPr>
      <w:r>
        <w:rPr>
          <w:rFonts w:ascii="Calibri" w:hAnsi="Calibri" w:eastAsia="Microsoft YaHei"/>
          <w:b/>
          <w:color w:val="1F4D78"/>
          <w:sz w:val="50"/>
        </w:rPr>
        <w:t>SciPilot 知识库与数据库实施交付说明</w:t>
      </w:r>
    </w:p>
    <w:p>
      <w:pPr>
        <w:spacing w:after="520"/>
        <w:jc w:val="center"/>
      </w:pPr>
      <w:r>
        <w:rPr>
          <w:rFonts w:ascii="Calibri" w:hAnsi="Calibri" w:eastAsia="Microsoft YaHei"/>
          <w:color w:val="2E74B5"/>
          <w:sz w:val="23"/>
        </w:rPr>
        <w:t>Supabase · PostgreSQL · RLS · Storage · RAG · FastAPI · React · Five Agents</w:t>
      </w:r>
    </w:p>
    <w:p>
      <w:pPr>
        <w:spacing w:after="1100"/>
        <w:ind w:left="792" w:right="792"/>
        <w:jc w:val="center"/>
      </w:pPr>
      <w:r>
        <w:rPr>
          <w:rFonts w:ascii="Calibri" w:hAnsi="Calibri" w:eastAsia="Microsoft YaHei"/>
          <w:color w:val="5B6573"/>
          <w:sz w:val="22"/>
        </w:rPr>
        <w:t>本次工作严格沿用项目 README 已设计的五智能体、统一 API、Supabase 数据层、数据持久化、研究记忆与知识图谱方向，在原有 001—005 基础上增量完成数据库和成熟知识库。006—008 已部署，12 条合规软件工程知识已写入，5 个智能体均已通过引用式检索实测。</w:t>
      </w:r>
    </w:p>
    <w:p>
      <w:pPr>
        <w:jc w:val="center"/>
      </w:pPr>
      <w:r>
        <w:rPr>
          <w:rFonts w:ascii="Calibri" w:hAnsi="Calibri" w:eastAsia="Microsoft YaHei"/>
          <w:b/>
          <w:color w:val="5B6573"/>
          <w:sz w:val="19"/>
        </w:rPr>
        <w:t>交付日期：2026-07-29  |  仓库：telitor/SciPilot  |  本地：Scipilot试运行</w:t>
      </w:r>
    </w:p>
    <w:p>
      <w:pPr>
        <w:pStyle w:val="Heading1"/>
        <w:pageBreakBefore/>
      </w:pPr>
      <w:r>
        <w:t>1. 最终结论</w:t>
      </w:r>
    </w:p>
    <w:p>
      <w:pPr>
        <w:spacing w:before="120" w:after="160" w:line="288" w:lineRule="auto"/>
        <w:ind w:left="173" w:right="173"/>
        <w:shd w:fill="EAF5EE"/>
      </w:pPr>
      <w:r>
        <w:rPr>
          <w:rFonts w:ascii="Calibri" w:hAnsi="Calibri" w:eastAsia="Microsoft YaHei"/>
          <w:b/>
          <w:color w:val="1F4D78"/>
          <w:sz w:val="21"/>
        </w:rPr>
        <w:t>本次范围：</w:t>
      </w:r>
      <w:r>
        <w:rPr>
          <w:rFonts w:ascii="Calibri" w:hAnsi="Calibri" w:eastAsia="Microsoft YaHei"/>
          <w:color w:val="172033"/>
          <w:sz w:val="21"/>
        </w:rPr>
        <w:t>数据库和知识库任务已经完成并通过在线验证。Supabase 不只是“接上了”：PostgreSQL 表、Auth、RLS、Storage、搜索 RPC、种子数据、后端 API、前端页面和 5 个智能体已经组成可运行闭环。</w:t>
      </w:r>
    </w:p>
    <w:p>
      <w:r>
        <w:rPr>
          <w:rFonts w:ascii="Calibri" w:hAnsi="Calibri" w:eastAsia="Microsoft YaHei"/>
          <w:color w:val="172033"/>
          <w:sz w:val="21"/>
        </w:rPr>
        <w:t>这不是只在 Supabase 控制台写数据。Supabase 保存持久数据；FastAPI 负责身份校验、所有权检查、入库、切块、检索、引用审计和智能体编排；React 负责注册登录、知识管理、搜索问答和引用展示。缺少任一层都不能形成成熟知识库。</w:t>
      </w:r>
    </w:p>
    <w:tbl>
      <w:tblPr>
        <w:tblStyle w:val="TableGrid"/>
        <w:tblW w:type="dxa" w:w="93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200"/>
        <w:gridCol w:w="6200"/>
      </w:tblGrid>
      <w:tr>
        <w:trPr>
          <w:tblHeader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层次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已完成状态</w:t>
            </w:r>
          </w:p>
        </w:tc>
        <w:tc>
          <w:tcPr>
            <w:tcW w:type="dxa" w:w="6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主要结果</w:t>
            </w:r>
          </w:p>
        </w:tc>
      </w:tr>
      <w:tr>
        <w:trPr/>
        <w:tc>
          <w:tcPr>
            <w:tcW w:type="dxa" w:w="19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Supabase 数据层</w:t>
            </w:r>
          </w:p>
        </w:tc>
        <w:tc>
          <w:tcPr>
            <w:tcW w:type="dxa" w:w="12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完成</w:t>
            </w:r>
          </w:p>
        </w:tc>
        <w:tc>
          <w:tcPr>
            <w:tcW w:type="dxa" w:w="62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006—008 已部署；知识表、RLS、RPC、私有 Storage 可用</w:t>
            </w:r>
          </w:p>
        </w:tc>
      </w:tr>
      <w:tr>
        <w:trPr/>
        <w:tc>
          <w:tcPr>
            <w:tcW w:type="dxa" w:w="19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软件工程知识</w:t>
            </w:r>
          </w:p>
        </w:tc>
        <w:tc>
          <w:tcPr>
            <w:tcW w:type="dxa" w:w="12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完成</w:t>
            </w:r>
          </w:p>
        </w:tc>
        <w:tc>
          <w:tcPr>
            <w:tcW w:type="dxa" w:w="62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1 个公共系统集合、12 篇文档、12 个全文检索分块</w:t>
            </w:r>
          </w:p>
        </w:tc>
      </w:tr>
      <w:tr>
        <w:trPr/>
        <w:tc>
          <w:tcPr>
            <w:tcW w:type="dxa" w:w="19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FastAPI 后端</w:t>
            </w:r>
          </w:p>
        </w:tc>
        <w:tc>
          <w:tcPr>
            <w:tcW w:type="dxa" w:w="12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完成</w:t>
            </w:r>
          </w:p>
        </w:tc>
        <w:tc>
          <w:tcPr>
            <w:tcW w:type="dxa" w:w="62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知识入库/搜索/问答/审计及 5 智能体知识问答接口</w:t>
            </w:r>
          </w:p>
        </w:tc>
      </w:tr>
      <w:tr>
        <w:trPr/>
        <w:tc>
          <w:tcPr>
            <w:tcW w:type="dxa" w:w="19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React 前端</w:t>
            </w:r>
          </w:p>
        </w:tc>
        <w:tc>
          <w:tcPr>
            <w:tcW w:type="dxa" w:w="12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完成</w:t>
            </w:r>
          </w:p>
        </w:tc>
        <w:tc>
          <w:tcPr>
            <w:tcW w:type="dxa" w:w="62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知识库页面及 5 个功能页的知识智能体面板</w:t>
            </w:r>
          </w:p>
        </w:tc>
      </w:tr>
      <w:tr>
        <w:trPr/>
        <w:tc>
          <w:tcPr>
            <w:tcW w:type="dxa" w:w="19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端到端验收</w:t>
            </w:r>
          </w:p>
        </w:tc>
        <w:tc>
          <w:tcPr>
            <w:tcW w:type="dxa" w:w="12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通过</w:t>
            </w:r>
          </w:p>
        </w:tc>
        <w:tc>
          <w:tcPr>
            <w:tcW w:type="dxa" w:w="62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认证、双账户隔离、文件入库、检索、引用和 5 智能体均通过</w:t>
            </w:r>
          </w:p>
        </w:tc>
      </w:tr>
    </w:tbl>
    <w:p>
      <w:pPr>
        <w:spacing w:after="20"/>
      </w:pPr>
    </w:p>
    <w:p>
      <w:pPr>
        <w:pStyle w:val="Heading1"/>
      </w:pPr>
      <w:r>
        <w:t>2. 与 README 预先设计的对应关系</w:t>
      </w:r>
    </w:p>
    <w:p>
      <w:r>
        <w:rPr>
          <w:rFonts w:ascii="Calibri" w:hAnsi="Calibri" w:eastAsia="Microsoft YaHei"/>
          <w:color w:val="172033"/>
          <w:sz w:val="21"/>
        </w:rPr>
        <w:t>原 README 已明确 Five Vertical Agents、FastAPI Unified Dispatcher、Supabase PostgreSQL + RLS、Conversation Persistence、File Storage、Shared Research Context、Research Memory 和 Knowledge Graph。本次实现沿这些既定方向补齐数据与知识基础，没有另起一套不兼容架构。</w:t>
      </w:r>
    </w:p>
    <w:tbl>
      <w:tblPr>
        <w:tblStyle w:val="TableGrid"/>
        <w:tblW w:type="dxa" w:w="93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5600"/>
        <w:gridCol w:w="1100"/>
      </w:tblGrid>
      <w:tr>
        <w:trPr>
          <w:tblHeader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README 设计</w:t>
            </w:r>
          </w:p>
        </w:tc>
        <w:tc>
          <w:tcPr>
            <w:tcW w:type="dxa" w:w="5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本次实现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rPr/>
        <w:tc>
          <w:tcPr>
            <w:tcW w:type="dxa" w:w="26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Five Vertical Agents</w:t>
            </w:r>
          </w:p>
        </w:tc>
        <w:tc>
          <w:tcPr>
            <w:tcW w:type="dxa" w:w="56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5 类 agent 按 category 发现；全部先检索可见知识再回答并返回引用</w:t>
            </w:r>
          </w:p>
        </w:tc>
        <w:tc>
          <w:tcPr>
            <w:tcW w:type="dxa" w:w="11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完成</w:t>
            </w:r>
          </w:p>
        </w:tc>
      </w:tr>
      <w:tr>
        <w:trPr/>
        <w:tc>
          <w:tcPr>
            <w:tcW w:type="dxa" w:w="26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FastAPI Unified Dispatcher</w:t>
            </w:r>
          </w:p>
        </w:tc>
        <w:tc>
          <w:tcPr>
            <w:tcW w:type="dxa" w:w="56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新增统一 /agents/{agent_id}/ask，并把原会话问答接入同一 RAG 逻辑</w:t>
            </w:r>
          </w:p>
        </w:tc>
        <w:tc>
          <w:tcPr>
            <w:tcW w:type="dxa" w:w="11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完成</w:t>
            </w:r>
          </w:p>
        </w:tc>
      </w:tr>
      <w:tr>
        <w:trPr/>
        <w:tc>
          <w:tcPr>
            <w:tcW w:type="dxa" w:w="26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Supabase PostgreSQL + RLS</w:t>
            </w:r>
          </w:p>
        </w:tc>
        <w:tc>
          <w:tcPr>
            <w:tcW w:type="dxa" w:w="56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工作区表、6 张知识库表、索引、触发器、RLS 与后端所有权校验</w:t>
            </w:r>
          </w:p>
        </w:tc>
        <w:tc>
          <w:tcPr>
            <w:tcW w:type="dxa" w:w="11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完成</w:t>
            </w:r>
          </w:p>
        </w:tc>
      </w:tr>
      <w:tr>
        <w:trPr/>
        <w:tc>
          <w:tcPr>
            <w:tcW w:type="dxa" w:w="26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Conversation Persistence</w:t>
            </w:r>
          </w:p>
        </w:tc>
        <w:tc>
          <w:tcPr>
            <w:tcW w:type="dxa" w:w="56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消息保存引用、模型和 knowledge_used；检索及引用单独审计</w:t>
            </w:r>
          </w:p>
        </w:tc>
        <w:tc>
          <w:tcPr>
            <w:tcW w:type="dxa" w:w="11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完成</w:t>
            </w:r>
          </w:p>
        </w:tc>
      </w:tr>
      <w:tr>
        <w:trPr/>
        <w:tc>
          <w:tcPr>
            <w:tcW w:type="dxa" w:w="26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File Storage</w:t>
            </w:r>
          </w:p>
        </w:tc>
        <w:tc>
          <w:tcPr>
            <w:tcW w:type="dxa" w:w="56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papers 与 knowledge-base 两个私有 bucket；删除时同步清理对象</w:t>
            </w:r>
          </w:p>
        </w:tc>
        <w:tc>
          <w:tcPr>
            <w:tcW w:type="dxa" w:w="11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完成</w:t>
            </w:r>
          </w:p>
        </w:tc>
      </w:tr>
      <w:tr>
        <w:trPr/>
        <w:tc>
          <w:tcPr>
            <w:tcW w:type="dxa" w:w="26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Shared Research Context / Research Memory</w:t>
            </w:r>
          </w:p>
        </w:tc>
        <w:tc>
          <w:tcPr>
            <w:tcW w:type="dxa" w:w="56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公共系统知识 + 用户私有集合；5 智能体共享可见上下文</w:t>
            </w:r>
          </w:p>
        </w:tc>
        <w:tc>
          <w:tcPr>
            <w:tcW w:type="dxa" w:w="11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完成</w:t>
            </w:r>
          </w:p>
        </w:tc>
      </w:tr>
      <w:tr>
        <w:trPr/>
        <w:tc>
          <w:tcPr>
            <w:tcW w:type="dxa" w:w="26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Knowledge Graph</w:t>
            </w:r>
          </w:p>
        </w:tc>
        <w:tc>
          <w:tcPr>
            <w:tcW w:type="dxa" w:w="56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7 个目录资源、15 节点、14 关系；前端使用真实 /kg API</w:t>
            </w:r>
          </w:p>
        </w:tc>
        <w:tc>
          <w:tcPr>
            <w:tcW w:type="dxa" w:w="11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完成</w:t>
            </w:r>
          </w:p>
        </w:tc>
      </w:tr>
    </w:tbl>
    <w:p>
      <w:pPr>
        <w:spacing w:after="20"/>
      </w:pPr>
    </w:p>
    <w:p>
      <w:pPr>
        <w:spacing w:before="120" w:after="160" w:line="288" w:lineRule="auto"/>
        <w:ind w:left="173" w:right="173"/>
        <w:shd w:fill="FFF4D6"/>
      </w:pPr>
      <w:r>
        <w:rPr>
          <w:rFonts w:ascii="Calibri" w:hAnsi="Calibri" w:eastAsia="Microsoft YaHei"/>
          <w:b/>
          <w:color w:val="1F4D78"/>
          <w:sz w:val="21"/>
        </w:rPr>
        <w:t>边界说明：</w:t>
      </w:r>
      <w:r>
        <w:rPr>
          <w:rFonts w:ascii="Calibri" w:hAnsi="Calibri" w:eastAsia="Microsoft YaHei"/>
          <w:color w:val="172033"/>
          <w:sz w:val="21"/>
        </w:rPr>
        <w:t>上表的数据库/知识库范围已完成。README 的 Evolution Roadmap 还包含流式响应、多智能体自动任务转交与编排、云部署和 Agent 生态等长期阶段；这些不应被虚报为本次已完成。</w:t>
      </w:r>
    </w:p>
    <w:p>
      <w:pPr>
        <w:pStyle w:val="Heading1"/>
        <w:pageBreakBefore/>
      </w:pPr>
      <w:r>
        <w:t>3. 数据库具体做了什么</w:t>
      </w:r>
    </w:p>
    <w:tbl>
      <w:tblPr>
        <w:tblStyle w:val="TableGrid"/>
        <w:tblW w:type="dxa" w:w="93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850"/>
        <w:gridCol w:w="3050"/>
      </w:tblGrid>
      <w:tr>
        <w:trPr>
          <w:tblHeader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对象</w:t>
            </w:r>
          </w:p>
        </w:tc>
        <w:tc>
          <w:tcPr>
            <w:tcW w:type="dxa" w:w="3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保存内容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作用</w:t>
            </w:r>
          </w:p>
        </w:tc>
      </w:tr>
      <w:tr>
        <w:trPr/>
        <w:tc>
          <w:tcPr>
            <w:tcW w:type="dxa" w:w="24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profiles / agents</w:t>
            </w:r>
          </w:p>
        </w:tc>
        <w:tc>
          <w:tcPr>
            <w:tcW w:type="dxa" w:w="38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用户资料、角色、5 个智能体定义</w:t>
            </w:r>
          </w:p>
        </w:tc>
        <w:tc>
          <w:tcPr>
            <w:tcW w:type="dxa" w:w="30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身份与能力目录</w:t>
            </w:r>
          </w:p>
        </w:tc>
      </w:tr>
      <w:tr>
        <w:trPr/>
        <w:tc>
          <w:tcPr>
            <w:tcW w:type="dxa" w:w="24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conversations / messages</w:t>
            </w:r>
          </w:p>
        </w:tc>
        <w:tc>
          <w:tcPr>
            <w:tcW w:type="dxa" w:w="38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会话、消息、引用、模型与元数据</w:t>
            </w:r>
          </w:p>
        </w:tc>
        <w:tc>
          <w:tcPr>
            <w:tcW w:type="dxa" w:w="30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连续交互和追溯</w:t>
            </w:r>
          </w:p>
        </w:tc>
      </w:tr>
      <w:tr>
        <w:trPr/>
        <w:tc>
          <w:tcPr>
            <w:tcW w:type="dxa" w:w="24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papers / paper_reports</w:t>
            </w:r>
          </w:p>
        </w:tc>
        <w:tc>
          <w:tcPr>
            <w:tcW w:type="dxa" w:w="38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论文元数据、文件路径、结构化精读报告</w:t>
            </w:r>
          </w:p>
        </w:tc>
        <w:tc>
          <w:tcPr>
            <w:tcW w:type="dxa" w:w="30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论文工作区</w:t>
            </w:r>
          </w:p>
        </w:tc>
      </w:tr>
      <w:tr>
        <w:trPr/>
        <w:tc>
          <w:tcPr>
            <w:tcW w:type="dxa" w:w="24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research_artifacts / activities</w:t>
            </w:r>
          </w:p>
        </w:tc>
        <w:tc>
          <w:tcPr>
            <w:tcW w:type="dxa" w:w="38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问题拆解、路线、复现、结果及活动流</w:t>
            </w:r>
          </w:p>
        </w:tc>
        <w:tc>
          <w:tcPr>
            <w:tcW w:type="dxa" w:w="30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科研产物沉淀</w:t>
            </w:r>
          </w:p>
        </w:tc>
      </w:tr>
      <w:tr>
        <w:trPr/>
        <w:tc>
          <w:tcPr>
            <w:tcW w:type="dxa" w:w="24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catalog_resources</w:t>
            </w:r>
          </w:p>
        </w:tc>
        <w:tc>
          <w:tcPr>
            <w:tcW w:type="dxa" w:w="38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7 条公开论文/数据集/仓库题录</w:t>
            </w:r>
          </w:p>
        </w:tc>
        <w:tc>
          <w:tcPr>
            <w:tcW w:type="dxa" w:w="30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可验证的公共资料目录</w:t>
            </w:r>
          </w:p>
        </w:tc>
      </w:tr>
      <w:tr>
        <w:trPr/>
        <w:tc>
          <w:tcPr>
            <w:tcW w:type="dxa" w:w="24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knowledge_nodes / edges</w:t>
            </w:r>
          </w:p>
        </w:tc>
        <w:tc>
          <w:tcPr>
            <w:tcW w:type="dxa" w:w="38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15 个节点、14 条关系</w:t>
            </w:r>
          </w:p>
        </w:tc>
        <w:tc>
          <w:tcPr>
            <w:tcW w:type="dxa" w:w="30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知识图谱探索</w:t>
            </w:r>
          </w:p>
        </w:tc>
      </w:tr>
      <w:tr>
        <w:trPr/>
        <w:tc>
          <w:tcPr>
            <w:tcW w:type="dxa" w:w="24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kb_collections</w:t>
            </w:r>
          </w:p>
        </w:tc>
        <w:tc>
          <w:tcPr>
            <w:tcW w:type="dxa" w:w="38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公共/私有集合、可见性、嵌入配置</w:t>
            </w:r>
          </w:p>
        </w:tc>
        <w:tc>
          <w:tcPr>
            <w:tcW w:type="dxa" w:w="30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知识空间边界</w:t>
            </w:r>
          </w:p>
        </w:tc>
      </w:tr>
      <w:tr>
        <w:trPr/>
        <w:tc>
          <w:tcPr>
            <w:tcW w:type="dxa" w:w="24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kb_documents / chunks</w:t>
            </w:r>
          </w:p>
        </w:tc>
        <w:tc>
          <w:tcPr>
            <w:tcW w:type="dxa" w:w="38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来源、正文、校验值、全文索引、可选 vector(1536)</w:t>
            </w:r>
          </w:p>
        </w:tc>
        <w:tc>
          <w:tcPr>
            <w:tcW w:type="dxa" w:w="30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RAG 检索主体</w:t>
            </w:r>
          </w:p>
        </w:tc>
      </w:tr>
      <w:tr>
        <w:trPr/>
        <w:tc>
          <w:tcPr>
            <w:tcW w:type="dxa" w:w="24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kb_retrievals / citations</w:t>
            </w:r>
          </w:p>
        </w:tc>
        <w:tc>
          <w:tcPr>
            <w:tcW w:type="dxa" w:w="38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问题、回答、检索模式、命中文档和片段快照</w:t>
            </w:r>
          </w:p>
        </w:tc>
        <w:tc>
          <w:tcPr>
            <w:tcW w:type="dxa" w:w="30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答案审计</w:t>
            </w:r>
          </w:p>
        </w:tc>
      </w:tr>
      <w:tr>
        <w:trPr/>
        <w:tc>
          <w:tcPr>
            <w:tcW w:type="dxa" w:w="24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Storage buckets</w:t>
            </w:r>
          </w:p>
        </w:tc>
        <w:tc>
          <w:tcPr>
            <w:tcW w:type="dxa" w:w="38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论文和知识库原文件</w:t>
            </w:r>
          </w:p>
        </w:tc>
        <w:tc>
          <w:tcPr>
            <w:tcW w:type="dxa" w:w="30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私有大文件存储</w:t>
            </w:r>
          </w:p>
        </w:tc>
      </w:tr>
    </w:tbl>
    <w:p>
      <w:pPr>
        <w:spacing w:after="20"/>
      </w:pPr>
    </w:p>
    <w:p>
      <w:pPr>
        <w:pStyle w:val="Heading2"/>
      </w:pPr>
      <w:r>
        <w:t>3.1 数据库系统知识解释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关系模型：集合、文档、片段、检索和引用通过 UUID 外键连接；删除用户或文档时按设计级联清理，减少孤儿数据。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RLS：数据库用 auth.uid() 控制行级可见性；FastAPI 使用服务器 Secret 后仍再次验证当前用户和资源所有权，形成纵深防御。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索引：普通业务字段使用 B-tree；中文模糊检索使用 pg_trgm；语义检索可使用 pgvector。索引降低全表扫描成本。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切块：长文档被拆为可独立检索的片段，问答只选择相关证据，既减少上下文成本，也能精确引用来源。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审计：kb_retrievals 保存一次查询，kb_citations 保存每条证据；回答可以回溯到文档和片段，而非只保存一段不可解释文字。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Storage：二进制文件不直接塞进数据库行，数据库保存受控路径和元数据；bucket 保持 private，通过后端签名或授权访问。</w:t>
      </w:r>
    </w:p>
    <w:p>
      <w:pPr>
        <w:pStyle w:val="Heading1"/>
      </w:pPr>
      <w:r>
        <w:t>4. 知识库中现在有什么</w:t>
      </w:r>
    </w:p>
    <w:p>
      <w:pPr>
        <w:spacing w:before="120" w:after="160" w:line="288" w:lineRule="auto"/>
        <w:ind w:left="173" w:right="173"/>
        <w:shd w:fill="EAF5EE"/>
      </w:pPr>
      <w:r>
        <w:rPr>
          <w:rFonts w:ascii="Calibri" w:hAnsi="Calibri" w:eastAsia="Microsoft YaHei"/>
          <w:b/>
          <w:color w:val="1F4D78"/>
          <w:sz w:val="21"/>
        </w:rPr>
        <w:t>版权策略：</w:t>
      </w:r>
      <w:r>
        <w:rPr>
          <w:rFonts w:ascii="Calibri" w:hAnsi="Calibri" w:eastAsia="Microsoft YaHei"/>
          <w:color w:val="172033"/>
          <w:sz w:val="21"/>
        </w:rPr>
        <w:t>所有 12 条正文均为 SciPilot 原创中文总结或操作卡。第三方资料只保存事实性题录、官方链接和许可边界，不复制受版权保护的论文、标准、数据集或课程全文。</w:t>
      </w:r>
    </w:p>
    <w:tbl>
      <w:tblPr>
        <w:tblStyle w:val="TableGrid"/>
        <w:tblW w:type="dxa" w:w="93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0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类别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当前知识</w:t>
            </w:r>
          </w:p>
        </w:tc>
      </w:tr>
      <w:tr>
        <w:trPr/>
        <w:tc>
          <w:tcPr>
            <w:tcW w:type="dxa" w:w="21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论文精读</w:t>
            </w:r>
          </w:p>
        </w:tc>
        <w:tc>
          <w:tcPr>
            <w:tcW w:type="dxa" w:w="72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Attention Is All You Need；BERT；CodeBERT/GraphCodeBERT；SWE-bench</w:t>
            </w:r>
          </w:p>
        </w:tc>
      </w:tr>
      <w:tr>
        <w:trPr/>
        <w:tc>
          <w:tcPr>
            <w:tcW w:type="dxa" w:w="21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需求与安全</w:t>
            </w:r>
          </w:p>
        </w:tc>
        <w:tc>
          <w:tcPr>
            <w:tcW w:type="dxa" w:w="72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SWEBOK 需求拆解；NIST SSDF 安全软件开发</w:t>
            </w:r>
          </w:p>
        </w:tc>
      </w:tr>
      <w:tr>
        <w:trPr/>
        <w:tc>
          <w:tcPr>
            <w:tcW w:type="dxa" w:w="21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工程流程</w:t>
            </w:r>
          </w:p>
        </w:tc>
        <w:tc>
          <w:tcPr>
            <w:tcW w:type="dxa" w:w="72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GitHub Actions CI/CD；软件工程可复现实验最小证据包</w:t>
            </w:r>
          </w:p>
        </w:tc>
      </w:tr>
      <w:tr>
        <w:trPr/>
        <w:tc>
          <w:tcPr>
            <w:tcW w:type="dxa" w:w="21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数据集/基准</w:t>
            </w:r>
          </w:p>
        </w:tc>
        <w:tc>
          <w:tcPr>
            <w:tcW w:type="dxa" w:w="72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CodeSearchNet；Defects4J</w:t>
            </w:r>
          </w:p>
        </w:tc>
      </w:tr>
      <w:tr>
        <w:trPr/>
        <w:tc>
          <w:tcPr>
            <w:tcW w:type="dxa" w:w="21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测试与统计</w:t>
            </w:r>
          </w:p>
        </w:tc>
        <w:tc>
          <w:tcPr>
            <w:tcW w:type="dxa" w:w="72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ISTQB CTFL 测试设计；NIST 工程统计结果分析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color w:val="172033"/>
          <w:sz w:val="21"/>
        </w:rPr>
        <w:t>每篇知识文档和每个片段均包含 source_url、official_sources、license_scope、topics、agent_categories、content_policy 和稳定 seed_key。种子脚本可幂等重跑：内容未变则复用，内容更新则只替换同一系统条目，不会无限产生重复文档。</w:t>
      </w:r>
    </w:p>
    <w:p>
      <w:pPr>
        <w:pStyle w:val="Heading1"/>
        <w:pageBreakBefore/>
      </w:pPr>
      <w:r>
        <w:t>5. 五个智能体如何调用知识</w:t>
      </w:r>
    </w:p>
    <w:tbl>
      <w:tblPr>
        <w:tblStyle w:val="TableGrid"/>
        <w:tblW w:type="dxa" w:w="93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900"/>
        <w:gridCol w:w="2100"/>
      </w:tblGrid>
      <w:tr>
        <w:trPr>
          <w:tblHeader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智能体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知识用途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在线实测</w:t>
            </w:r>
          </w:p>
        </w:tc>
      </w:tr>
      <w:tr>
        <w:trPr/>
        <w:tc>
          <w:tcPr>
            <w:tcW w:type="dxa" w:w="23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论文精读助手</w:t>
            </w:r>
          </w:p>
        </w:tc>
        <w:tc>
          <w:tcPr>
            <w:tcW w:type="dxa" w:w="49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研究问题、方法、实验依据、局限和论文题录</w:t>
            </w:r>
          </w:p>
        </w:tc>
        <w:tc>
          <w:tcPr>
            <w:tcW w:type="dxa" w:w="21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HTTP 200，6 条引用</w:t>
            </w:r>
          </w:p>
        </w:tc>
      </w:tr>
      <w:tr>
        <w:trPr/>
        <w:tc>
          <w:tcPr>
            <w:tcW w:type="dxa" w:w="23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问题拆解助手</w:t>
            </w:r>
          </w:p>
        </w:tc>
        <w:tc>
          <w:tcPr>
            <w:tcW w:type="dxa" w:w="49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约束、变量、子问题、输入输出和验收标准</w:t>
            </w:r>
          </w:p>
        </w:tc>
        <w:tc>
          <w:tcPr>
            <w:tcW w:type="dxa" w:w="21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HTTP 200，8 条引用</w:t>
            </w:r>
          </w:p>
        </w:tc>
      </w:tr>
      <w:tr>
        <w:trPr/>
        <w:tc>
          <w:tcPr>
            <w:tcW w:type="dxa" w:w="23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项目规划助手</w:t>
            </w:r>
          </w:p>
        </w:tc>
        <w:tc>
          <w:tcPr>
            <w:tcW w:type="dxa" w:w="49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里程碑、依赖、风险、CI/CD 和质量计划</w:t>
            </w:r>
          </w:p>
        </w:tc>
        <w:tc>
          <w:tcPr>
            <w:tcW w:type="dxa" w:w="21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HTTP 200，7 条引用</w:t>
            </w:r>
          </w:p>
        </w:tc>
      </w:tr>
      <w:tr>
        <w:trPr/>
        <w:tc>
          <w:tcPr>
            <w:tcW w:type="dxa" w:w="23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代码复现助手</w:t>
            </w:r>
          </w:p>
        </w:tc>
        <w:tc>
          <w:tcPr>
            <w:tcW w:type="dxa" w:w="49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版本锁定、环境、数据、随机种子和排错流程</w:t>
            </w:r>
          </w:p>
        </w:tc>
        <w:tc>
          <w:tcPr>
            <w:tcW w:type="dxa" w:w="21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HTTP 200，8 条引用</w:t>
            </w:r>
          </w:p>
        </w:tc>
      </w:tr>
      <w:tr>
        <w:trPr/>
        <w:tc>
          <w:tcPr>
            <w:tcW w:type="dxa" w:w="23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结果分析助手</w:t>
            </w:r>
          </w:p>
        </w:tc>
        <w:tc>
          <w:tcPr>
            <w:tcW w:type="dxa" w:w="49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指标、效应量、置信区间、显著性和结论边界</w:t>
            </w:r>
          </w:p>
        </w:tc>
        <w:tc>
          <w:tcPr>
            <w:tcW w:type="dxa" w:w="21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HTTP 200，4 条引用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color w:val="172033"/>
          <w:sz w:val="21"/>
        </w:rPr>
        <w:t>前端新增共享 AgentKnowledgePanel，嵌入 PaperRead、ResearchDecompose、ExperimentRoadmap、CodeReproduce、ResultAnalyze。组件先 GET /agents 按 category 匹配，再 POST /agents/{agent_id}/ask；页面展示 knowledge_used、回答、检索编号、来源标题、原文片段、官方链接和相关度。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有 LLM/XF 配置：把有长度上限的证据交给模型，要求每个实质结论使用有效 [n] 引用。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无 LLM 配置或模型失败：返回带 [n] 的可信证据摘录，功能仍可验证，不伪装成生成式答案。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无检索证据：明确说明资料不足，拒绝编造。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公共系统集合所有登录用户可读；普通用户写入、更新、删除均返回 403；管理员可维护。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用户个人集合仍按所有权隔离；直接调用搜索 RPC 的 anon/authenticated 角色被拒绝。</w:t>
      </w:r>
    </w:p>
    <w:p>
      <w:pPr>
        <w:pStyle w:val="Heading1"/>
      </w:pPr>
      <w:r>
        <w:t>6. 认证为什么曾经失败，现在是否接好</w:t>
      </w:r>
    </w:p>
    <w:p>
      <w:pPr>
        <w:spacing w:before="120" w:after="160" w:line="288" w:lineRule="auto"/>
        <w:ind w:left="173" w:right="173"/>
        <w:shd w:fill="EAF5EE"/>
      </w:pPr>
      <w:r>
        <w:rPr>
          <w:rFonts w:ascii="Calibri" w:hAnsi="Calibri" w:eastAsia="Microsoft YaHei"/>
          <w:b/>
          <w:color w:val="1F4D78"/>
          <w:sz w:val="21"/>
        </w:rPr>
        <w:t>最新验证结论：Supabase Auth 健康检查 200；用户注册接口 200 并立即返回有效 JWT；requires_email_confirmation=false；/users/me 200；退出后使用同一账号再次登录 200。认证、数据库与前后端已经接通。</w:t>
      </w:r>
      <w:r>
        <w:rPr>
          <w:rFonts w:ascii="Calibri" w:hAnsi="Calibri" w:eastAsia="Microsoft YaHei"/>
          <w:color w:val="172033"/>
          <w:sz w:val="21"/>
        </w:rPr>
      </w:r>
    </w:p>
    <w:p>
      <w:r>
        <w:rPr>
          <w:rFonts w:ascii="Calibri" w:hAnsi="Calibri" w:eastAsia="Microsoft YaHei"/>
          <w:color w:val="172033"/>
          <w:sz w:val="21"/>
        </w:rPr>
        <w:t>当前试运行已启用 AUTH_AUTO_CONFIRM_EMAIL=true。FastAPI 使用仅保存在服务器端的 Service Role 权限创建已确认的 Supabase Auth 用户，再用 Publishable/Anon 权限换取该用户自己的 JWT，因此不发送验证邮件，也不受默认邮件发送额度影响。该模式不验证邮箱所有权；公开生产环境应配置自有 SMTP，并把开关改为 false。</w:t>
      </w:r>
    </w:p>
    <w:p>
      <w:pPr>
        <w:pStyle w:val="Heading1"/>
      </w:pPr>
      <w:r>
        <w:t>7. 已完成验证记录</w:t>
      </w:r>
    </w:p>
    <w:tbl>
      <w:tblPr>
        <w:tblStyle w:val="TableGrid"/>
        <w:tblW w:type="dxa" w:w="93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1150"/>
        <w:gridCol w:w="5700"/>
      </w:tblGrid>
      <w:tr>
        <w:trPr>
          <w:tblHeader w:val="true"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验证项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证据</w:t>
            </w:r>
          </w:p>
        </w:tc>
      </w:tr>
      <w:tr>
        <w:trPr/>
        <w:tc>
          <w:tcPr>
            <w:tcW w:type="dxa" w:w="24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006 / 007 / 008</w:t>
            </w:r>
          </w:p>
        </w:tc>
        <w:tc>
          <w:tcPr>
            <w:tcW w:type="dxa" w:w="115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通过</w:t>
            </w:r>
          </w:p>
        </w:tc>
        <w:tc>
          <w:tcPr>
            <w:tcW w:type="dxa" w:w="57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远程表、函数、RLS 与两个私有 bucket 可访问</w:t>
            </w:r>
          </w:p>
        </w:tc>
      </w:tr>
      <w:tr>
        <w:trPr/>
        <w:tc>
          <w:tcPr>
            <w:tcW w:type="dxa" w:w="24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数据库现状</w:t>
            </w:r>
          </w:p>
        </w:tc>
        <w:tc>
          <w:tcPr>
            <w:tcW w:type="dxa" w:w="115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通过</w:t>
            </w:r>
          </w:p>
        </w:tc>
        <w:tc>
          <w:tcPr>
            <w:tcW w:type="dxa" w:w="57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2 profiles、5 agents、1 collection、12 documents、12 chunks</w:t>
            </w:r>
          </w:p>
        </w:tc>
      </w:tr>
      <w:tr>
        <w:trPr/>
        <w:tc>
          <w:tcPr>
            <w:tcW w:type="dxa" w:w="24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单元测试</w:t>
            </w:r>
          </w:p>
        </w:tc>
        <w:tc>
          <w:tcPr>
            <w:tcW w:type="dxa" w:w="115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通过</w:t>
            </w:r>
          </w:p>
        </w:tc>
        <w:tc>
          <w:tcPr>
            <w:tcW w:type="dxa" w:w="57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19/19：切块、引用、防编造、公共/私有授权，以及自动确认注册、兼容模式和异常清理</w:t>
            </w:r>
          </w:p>
        </w:tc>
      </w:tr>
      <w:tr>
        <w:trPr/>
        <w:tc>
          <w:tcPr>
            <w:tcW w:type="dxa" w:w="24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前端构建</w:t>
            </w:r>
          </w:p>
        </w:tc>
        <w:tc>
          <w:tcPr>
            <w:tcW w:type="dxa" w:w="115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通过</w:t>
            </w:r>
          </w:p>
        </w:tc>
        <w:tc>
          <w:tcPr>
            <w:tcW w:type="dxa" w:w="57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TypeScript + Vite 生产构建完成</w:t>
            </w:r>
          </w:p>
        </w:tc>
      </w:tr>
      <w:tr>
        <w:trPr/>
        <w:tc>
          <w:tcPr>
            <w:tcW w:type="dxa" w:w="24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双账户 E2E</w:t>
            </w:r>
          </w:p>
        </w:tc>
        <w:tc>
          <w:tcPr>
            <w:tcW w:type="dxa" w:w="115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通过</w:t>
            </w:r>
          </w:p>
        </w:tc>
        <w:tc>
          <w:tcPr>
            <w:tcW w:type="dxa" w:w="57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登录、入库、去重、搜索、问答、Storage、RLS、删除清理</w:t>
            </w:r>
          </w:p>
        </w:tc>
      </w:tr>
      <w:tr>
        <w:trPr/>
        <w:tc>
          <w:tcPr>
            <w:tcW w:type="dxa" w:w="24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五智能体 E2E</w:t>
            </w:r>
          </w:p>
        </w:tc>
        <w:tc>
          <w:tcPr>
            <w:tcW w:type="dxa" w:w="115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通过</w:t>
            </w:r>
          </w:p>
        </w:tc>
        <w:tc>
          <w:tcPr>
            <w:tcW w:type="dxa" w:w="57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5/5 HTTP 200；共 33 条引用；检索/引用审计写入成功</w:t>
            </w:r>
          </w:p>
        </w:tc>
      </w:tr>
      <w:tr>
        <w:trPr/>
        <w:tc>
          <w:tcPr>
            <w:tcW w:type="dxa" w:w="245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路由检查</w:t>
            </w:r>
          </w:p>
        </w:tc>
        <w:tc>
          <w:tcPr>
            <w:tcW w:type="dxa" w:w="115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通过</w:t>
            </w:r>
          </w:p>
        </w:tc>
        <w:tc>
          <w:tcPr>
            <w:tcW w:type="dxa" w:w="57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48 个操作、41 条路径、无重复，agent ask 已进入 OpenAPI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8. 用户如何亲自验证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双击仓库根目录“启动_SciPilot本地网页_双击运行.cmd”。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在 Edge 打开 http://127.0.0.1:5173/；接口文档为 http://127.0.0.1:8000/docs。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填写用户名、有效邮箱和同时包含字母与数字的 8–128 位密码；注册成功后系统会自动登录并进入仪表盘，不需要点击验证邮件。已有账户直接使用对应邮箱和密码登录。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进入“知识库”，确认看到“软件工程公开知识入门”和 12 篇 ready 文档。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搜索“随机种子”“效应量”“RLS”或“CodeBERT”，确认出现来源片段和官方链接。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依次进入论文精读、问题拆解、实验规划、代码复现、结果分析，在每页知识库智能体中提问。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确认回答顶部显示“已命中知识库”，正文含 [1]，下方显示引用卡片和检索记录编号。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创建个人集合，粘贴文本或上传 PDF/TXT/MD，再验证去重、搜索、引用问答和删除。</w:t>
      </w:r>
    </w:p>
    <w:p>
      <w:pPr>
        <w:pStyle w:val="Heading1"/>
      </w:pPr>
      <w:r>
        <w:t>9. 当前项目做到什么程度</w:t>
      </w:r>
    </w:p>
    <w:tbl>
      <w:tblPr>
        <w:tblStyle w:val="TableGrid"/>
        <w:tblW w:type="dxa" w:w="93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1300"/>
        <w:gridCol w:w="5500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当前程度</w:t>
            </w:r>
          </w:p>
        </w:tc>
        <w:tc>
          <w:tcPr>
            <w:tcW w:type="dxa" w:w="5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说明</w:t>
            </w:r>
          </w:p>
        </w:tc>
      </w:tr>
      <w:tr>
        <w:trPr/>
        <w:tc>
          <w:tcPr>
            <w:tcW w:type="dxa" w:w="25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数据库/知识库闭环</w:t>
            </w:r>
          </w:p>
        </w:tc>
        <w:tc>
          <w:tcPr>
            <w:tcW w:type="dxa" w:w="13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完成</w:t>
            </w:r>
          </w:p>
        </w:tc>
        <w:tc>
          <w:tcPr>
            <w:tcW w:type="dxa" w:w="55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本次验收范围已经完成，可本地运行并连接真实 Supabase</w:t>
            </w:r>
          </w:p>
        </w:tc>
      </w:tr>
      <w:tr>
        <w:trPr/>
        <w:tc>
          <w:tcPr>
            <w:tcW w:type="dxa" w:w="25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五智能体知识调用</w:t>
            </w:r>
          </w:p>
        </w:tc>
        <w:tc>
          <w:tcPr>
            <w:tcW w:type="dxa" w:w="13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完成</w:t>
            </w:r>
          </w:p>
        </w:tc>
        <w:tc>
          <w:tcPr>
            <w:tcW w:type="dxa" w:w="55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五类前端入口和统一后端检索问答均已实测</w:t>
            </w:r>
          </w:p>
        </w:tc>
      </w:tr>
      <w:tr>
        <w:trPr/>
        <w:tc>
          <w:tcPr>
            <w:tcW w:type="dxa" w:w="25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README MVP 数据能力</w:t>
            </w:r>
          </w:p>
        </w:tc>
        <w:tc>
          <w:tcPr>
            <w:tcW w:type="dxa" w:w="1300"/>
            <w:shd w:fill="EAF5EE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完成</w:t>
            </w:r>
          </w:p>
        </w:tc>
        <w:tc>
          <w:tcPr>
            <w:tcW w:type="dxa" w:w="55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数据层、认证、持久化、文件存储、研究记忆、知识图谱已落地</w:t>
            </w:r>
          </w:p>
        </w:tc>
      </w:tr>
      <w:tr>
        <w:trPr/>
        <w:tc>
          <w:tcPr>
            <w:tcW w:type="dxa" w:w="25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正式模型质量</w:t>
            </w:r>
          </w:p>
        </w:tc>
        <w:tc>
          <w:tcPr>
            <w:tcW w:type="dxa" w:w="1300"/>
            <w:shd w:fill="FDECEC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待配置</w:t>
            </w:r>
          </w:p>
        </w:tc>
        <w:tc>
          <w:tcPr>
            <w:tcW w:type="dxa" w:w="55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需团队提供 LLM/Embedding/XF 正式密钥、模型和成本策略</w:t>
            </w:r>
          </w:p>
        </w:tc>
      </w:tr>
      <w:tr>
        <w:trPr/>
        <w:tc>
          <w:tcPr>
            <w:tcW w:type="dxa" w:w="25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生产认证</w:t>
            </w:r>
          </w:p>
        </w:tc>
        <w:tc>
          <w:tcPr>
            <w:tcW w:type="dxa" w:w="1300"/>
            <w:shd w:fill="FDECEC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待配置</w:t>
            </w:r>
          </w:p>
        </w:tc>
        <w:tc>
          <w:tcPr>
            <w:tcW w:type="dxa" w:w="55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当前试运行自动确认；生产需自有 SMTP、正式域名、Site URL、Redirect URL，并关闭自动确认</w:t>
            </w:r>
          </w:p>
        </w:tc>
      </w:tr>
      <w:tr>
        <w:trPr/>
        <w:tc>
          <w:tcPr>
            <w:tcW w:type="dxa" w:w="25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高级文档处理</w:t>
            </w:r>
          </w:p>
        </w:tc>
        <w:tc>
          <w:tcPr>
            <w:tcW w:type="dxa" w:w="1300"/>
            <w:shd w:fill="FDECEC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待开发</w:t>
            </w:r>
          </w:p>
        </w:tc>
        <w:tc>
          <w:tcPr>
            <w:tcW w:type="dxa" w:w="55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扫描 PDF OCR、异步任务队列、页码/坐标级引用</w:t>
            </w:r>
          </w:p>
        </w:tc>
      </w:tr>
      <w:tr>
        <w:trPr/>
        <w:tc>
          <w:tcPr>
            <w:tcW w:type="dxa" w:w="25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README 长期路线</w:t>
            </w:r>
          </w:p>
        </w:tc>
        <w:tc>
          <w:tcPr>
            <w:tcW w:type="dxa" w:w="1300"/>
            <w:shd w:fill="FDECEC"/>
          </w:tcPr>
          <w:p>
            <w:pPr>
              <w:spacing w:after="0" w:line="269" w:lineRule="auto"/>
              <w:jc w:val="center"/>
            </w:pPr>
            <w:r>
              <w:rPr>
                <w:rFonts w:ascii="Calibri" w:hAnsi="Calibri" w:eastAsia="Microsoft YaHei"/>
                <w:b/>
                <w:color w:val="172033"/>
                <w:sz w:val="18"/>
              </w:rPr>
              <w:t>待开发</w:t>
            </w:r>
          </w:p>
        </w:tc>
        <w:tc>
          <w:tcPr>
            <w:tcW w:type="dxa" w:w="5500"/>
          </w:tcPr>
          <w:p>
            <w:pPr>
              <w:spacing w:after="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172033"/>
                <w:sz w:val="18"/>
              </w:rPr>
              <w:t>流式响应、自动任务转交/编排、云部署、Agent 生态</w:t>
            </w:r>
          </w:p>
        </w:tc>
      </w:tr>
    </w:tbl>
    <w:p>
      <w:pPr>
        <w:spacing w:after="20"/>
      </w:pPr>
    </w:p>
    <w:p>
      <w:pPr>
        <w:pStyle w:val="Heading1"/>
      </w:pPr>
      <w:r>
        <w:t>10. GitHub 本次更新与清理</w:t>
      </w:r>
    </w:p>
    <w:p>
      <w:r>
        <w:rPr>
          <w:rFonts w:ascii="Calibri" w:hAnsi="Calibri" w:eastAsia="Microsoft YaHei"/>
          <w:color w:val="172033"/>
          <w:sz w:val="21"/>
        </w:rPr>
        <w:t>本次采用增量合并，不覆盖远端仓库。保留 README、Agent 目录、001—005 迁移和原有前端；新增或更新以下内容：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supabase/migrations/006_workspace_data_layer.sql、007_seed_public_research_catalog.sql、008_knowledge_base.sql。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backend/api/：鉴权依赖、schemas 和统一 routes；routes.py 最终只有一份，不存在重复文件。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backend/services/：Supabase、知识库切块/向量、知识智能体、LLM/XF 服务。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backend/scripts/：远程检查、12 条种子知识、双账户 E2E、五智能体 E2E。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backend/tests/：知识库、智能体授权/引用和自动确认注册的 19 个测试。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frontend/src/components/AgentKnowledgePanel.tsx 和 5 个智能体页面；KnowledgeBase、KnowledgeGraph、API、类型、认证与数据页面。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docs/：数据库指南、知识库指南、GitHub 清单和本交付 Word；根目录 Windows 启动脚本。</w:t>
      </w:r>
    </w:p>
    <w:p>
      <w:pPr>
        <w:spacing w:before="120" w:after="160" w:line="288" w:lineRule="auto"/>
        <w:ind w:left="173" w:right="173"/>
        <w:shd w:fill="FFF4D6"/>
      </w:pPr>
      <w:r>
        <w:rPr>
          <w:rFonts w:ascii="Calibri" w:hAnsi="Calibri" w:eastAsia="Microsoft YaHei"/>
          <w:b/>
          <w:color w:val="1F4D78"/>
          <w:sz w:val="21"/>
        </w:rPr>
        <w:t>清理：</w:t>
      </w:r>
      <w:r>
        <w:rPr>
          <w:rFonts w:ascii="Calibri" w:hAnsi="Calibri" w:eastAsia="Microsoft YaHei"/>
          <w:color w:val="172033"/>
          <w:sz w:val="21"/>
        </w:rPr>
        <w:t>删除未被任何页面引用、且依赖旧 agentAPI/chat 合同并导致 TypeScript 构建失败的 AgentChatPanel.tsx；由 AgentKnowledgePanel 取代。不提交旧版数据库交付 Word、frontend/dist、node_modules、work、.repo-sync、缓存、日志、测试账户或 .env。不会删除远端 README、Agent 或既有迁移。</w:t>
      </w:r>
    </w:p>
    <w:p>
      <w:pPr>
        <w:pStyle w:val="Heading1"/>
      </w:pPr>
      <w:r>
        <w:t>11. 安全与后续动作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用户曾在聊天中发送 Supabase Secret Key。完成交接后必须在 Supabase Dashboard 轮换，并更新 backend/.env 或部署平台 Secret。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Publishable Key 可公开但仍建议只按架构需要使用；Secret Key 永远不能进入 VITE_*、前端包、GitHub 或截图。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系统当前使用 full-text 模式，12 个分块没有向量；这不是不可用。配置 1536 维 embedding 后可升级为 hybrid。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生产上线前应配置 SMTP，并将 AUTH_AUTO_CONFIRM_EMAIL 改为 false 以验证邮箱所有权；同时配置 HTTPS、严格 CORS、备份恢复、日志告警、速率限制和 CI/CD。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后续公开知识继续保存题录、官方链接和原创摘要；上传全文前必须确认权利和数据处理授权。</w:t>
      </w:r>
    </w:p>
    <w:p>
      <w:pPr>
        <w:pStyle w:val="Heading1"/>
      </w:pPr>
      <w:r>
        <w:t>12. 主要官方来源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SciPilot GitHub：https://github.com/telitor/SciPilot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IEEE CS SWEBOK：https://www.computer.org/education/bodies-of-knowledge/software-engineering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NIST SSDF：https://csrc.nist.gov/pubs/sp/800/218/final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NIST Engineering Statistics Handbook：https://www.itl.nist.gov/div898/handbook/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GitHub Actions：https://docs.github.com/en/actions/get-started/quickstart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ISTQB CTFL：https://www.istqb.org/help/ctfl-v40/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Microsoft CodeBERT：https://github.com/microsoft/CodeBERT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172033"/>
          <w:sz w:val="21"/>
        </w:rPr>
        <w:t>CodeSearchNet / Defects4J / SWE-bench：对应官方 GitHub 仓库，完整 URL 已写入每条知识 metadata。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573"/>
        <w:sz w:val="18"/>
      </w:rPr>
      <w:t xml:space="preserve">第 </w:t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5B6573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YaHei"/>
        <w:b/>
        <w:color w:val="5B6573"/>
        <w:sz w:val="18"/>
      </w:rPr>
      <w:t>SciPilot · 数据库与知识库最终交付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 w:trackRevisions="false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SciPilot 知识库与数据库实施交付说明</dc:title>
  <dc:subject>README 对齐、Supabase、知识库、五智能体、验收与 GitHub 更新</dc:subject>
  <dc:creator>SciPilot 项目组</dc:creator>
  <cp:keywords>SciPilot, Supabase, PostgreSQL, RLS, Knowledge Base, RAG, FastAPI, React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