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3.9 (Apache licensed) using REFERENCE JAXB in Oracle Java 1.8.0_321 on Linux -->
    <w:p>
      <w:pPr>
        <w:spacing w:before="300" w:after="300"/>
        <w:ind w:left="120"/>
        <w:jc w:val="center"/>
      </w:pPr>
      <w:r>
        <w:rPr>
          <w:rFonts w:ascii="Times New Roman" w:hAnsi="Times New Roman"/>
          <w:b/>
          <w:i w:val="false"/>
          <w:color w:val="000000"/>
          <w:sz w:val="30"/>
        </w:rPr>
        <w:t xml:space="preserve"> 你是一位股票研究专家，你目前的主要工作是... </w:t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结论</w:t>
      </w:r>
    </w:p>
    <w:p>
      <w:pPr>
        <w:numPr>
          <w:ilvl w:val="0"/>
          <w:numId w:val="1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广西广电当前基本面仍处亏损但同比减亏，核心拐点来自正在推进的“置出广电网络、置入智慧交通资产（交科集团51%股权）”重大资产置换，未来业绩更多取决于交科集团业务整合与释放</w:t>
      </w:r>
      <w:r>
        <w:rPr>
          <w:rFonts w:ascii="Times New Roman" w:hAnsi="Times New Roman"/>
          <w:b w:val="false"/>
          <w:i w:val="false"/>
          <w:color w:val="000000"/>
          <w:sz w:val="22"/>
        </w:rPr>
        <w:t>。</w:t>
      </w:r>
    </w:p>
    <w:p>
      <w:pPr>
        <w:numPr>
          <w:ilvl w:val="0"/>
          <w:numId w:val="1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其原所处的电视广播/有线网络行业在2024年持续承压、2025年一季度仍亏，但行业监管规范落地、大屏端提价与4K超高清普及、IPTV/OTT用户稳步提升等边际变化，有望改善牌照商与大屏生态的盈利结构；不过，对上市公司层面（置换后不再经营广电网络业务）的直接收益将弱化。</w:t>
      </w:r>
    </w:p>
    <w:p>
      <w:pPr>
        <w:numPr>
          <w:ilvl w:val="0"/>
          <w:numId w:val="1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短期（2025年）一致预期数据未见披露，估值口径不具对比意义（现阶段净利为负）；中期看，若交科集团与上市平台协同落地（抓住“智慧交通/数智工程”项目、外延扩张），盈利质量与融资能力有望改善，但需跟踪后续并表与订单转化进度</w:t>
      </w:r>
      <w:r>
        <w:rPr>
          <w:rFonts w:ascii="Times New Roman" w:hAnsi="Times New Roman"/>
          <w:b w:val="false"/>
          <w:i w:val="false"/>
          <w:color w:val="000000"/>
          <w:sz w:val="22"/>
        </w:rPr>
        <w:t>。</w:t>
      </w:r>
    </w:p>
    <w:p>
      <w:pPr>
        <w:spacing w:before="269" w:after="269"/>
        <w:ind w:left="120"/>
        <w:jc w:val="left"/>
      </w:pPr>
      <w:r>
        <w:drawing>
          <wp:inline distT="0" distB="0" distL="0" distR="0">
            <wp:extent cx="5732145" cy="3610883"/>
            <wp:effectExtent l="0" t="0" r="0" b="0"/>
            <wp:docPr id="2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61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1. 行业数据、同比增速与年度预期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2024年行业规模与增速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：全国广播电视和网络视听行业总收入为</w:t>
      </w:r>
      <w:r>
        <w:rPr>
          <w:rFonts w:ascii="Times New Roman" w:hAnsi="Times New Roman"/>
          <w:b/>
          <w:i w:val="false"/>
          <w:color w:val="000000"/>
          <w:sz w:val="22"/>
        </w:rPr>
        <w:t>14878.02亿元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，同比**+5.32%</w:t>
      </w:r>
      <w:r>
        <w:rPr>
          <w:rFonts w:ascii="Times New Roman" w:hAnsi="Times New Roman"/>
          <w:b/>
          <w:i w:val="false"/>
          <w:color w:val="000000"/>
          <w:sz w:val="22"/>
        </w:rPr>
        <w:t>；其中实际创收收入</w:t>
      </w:r>
      <w:r>
        <w:rPr>
          <w:rFonts w:ascii="Times New Roman" w:hAnsi="Times New Roman"/>
          <w:b w:val="false"/>
          <w:i w:val="false"/>
          <w:color w:val="000000"/>
          <w:sz w:val="22"/>
        </w:rPr>
        <w:t>12855.87亿元**，同比**+5.27%**。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电视广播板块财务表现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：2024年电视广播板块公司总营收</w:t>
      </w:r>
      <w:r>
        <w:rPr>
          <w:rFonts w:ascii="Times New Roman" w:hAnsi="Times New Roman"/>
          <w:b/>
          <w:i w:val="false"/>
          <w:color w:val="000000"/>
          <w:sz w:val="22"/>
        </w:rPr>
        <w:t>438.36亿元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，同比**-3.5%</w:t>
      </w:r>
      <w:r>
        <w:rPr>
          <w:rFonts w:ascii="Times New Roman" w:hAnsi="Times New Roman"/>
          <w:b/>
          <w:i w:val="false"/>
          <w:color w:val="000000"/>
          <w:sz w:val="22"/>
        </w:rPr>
        <w:t>；归母净利润</w:t>
      </w:r>
      <w:r>
        <w:rPr>
          <w:rFonts w:ascii="Times New Roman" w:hAnsi="Times New Roman"/>
          <w:b w:val="false"/>
          <w:i w:val="false"/>
          <w:color w:val="000000"/>
          <w:sz w:val="22"/>
        </w:rPr>
        <w:t>-13.74亿元**；2025Q1营收</w:t>
      </w:r>
      <w:r>
        <w:rPr>
          <w:rFonts w:ascii="Times New Roman" w:hAnsi="Times New Roman"/>
          <w:b/>
          <w:i w:val="false"/>
          <w:color w:val="000000"/>
          <w:sz w:val="22"/>
        </w:rPr>
        <w:t>97.29亿元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，同比**-1.2%</w:t>
      </w:r>
      <w:r>
        <w:rPr>
          <w:rFonts w:ascii="Times New Roman" w:hAnsi="Times New Roman"/>
          <w:b/>
          <w:i w:val="false"/>
          <w:color w:val="000000"/>
          <w:sz w:val="22"/>
        </w:rPr>
        <w:t>，归母净利润</w:t>
      </w:r>
      <w:r>
        <w:rPr>
          <w:rFonts w:ascii="Times New Roman" w:hAnsi="Times New Roman"/>
          <w:b w:val="false"/>
          <w:i w:val="false"/>
          <w:color w:val="000000"/>
          <w:sz w:val="22"/>
        </w:rPr>
        <w:t>-0.9亿元**（亏损收窄）。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广播电视板块分项跟踪（另一口径交叉验证）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：2025Q1营收</w:t>
      </w:r>
      <w:r>
        <w:rPr>
          <w:rFonts w:ascii="Times New Roman" w:hAnsi="Times New Roman"/>
          <w:b/>
          <w:i w:val="false"/>
          <w:color w:val="000000"/>
          <w:sz w:val="22"/>
        </w:rPr>
        <w:t>97.92亿元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，同比**-1.75%</w:t>
      </w:r>
      <w:r>
        <w:rPr>
          <w:rFonts w:ascii="Times New Roman" w:hAnsi="Times New Roman"/>
          <w:b/>
          <w:i w:val="false"/>
          <w:color w:val="000000"/>
          <w:sz w:val="22"/>
        </w:rPr>
        <w:t>；归母净利润</w:t>
      </w:r>
      <w:r>
        <w:rPr>
          <w:rFonts w:ascii="Times New Roman" w:hAnsi="Times New Roman"/>
          <w:b w:val="false"/>
          <w:i w:val="false"/>
          <w:color w:val="000000"/>
          <w:sz w:val="22"/>
        </w:rPr>
        <w:t>-0.88亿元**，亏损幅度减缓；毛利率/净利率</w:t>
      </w:r>
      <w:r>
        <w:rPr>
          <w:rFonts w:ascii="Times New Roman" w:hAnsi="Times New Roman"/>
          <w:b/>
          <w:i w:val="false"/>
          <w:color w:val="000000"/>
          <w:sz w:val="22"/>
        </w:rPr>
        <w:t>23.99%/-0.77%</w:t>
      </w:r>
      <w:r>
        <w:rPr>
          <w:rFonts w:ascii="Times New Roman" w:hAnsi="Times New Roman"/>
          <w:b w:val="false"/>
          <w:i w:val="false"/>
          <w:color w:val="000000"/>
          <w:sz w:val="22"/>
        </w:rPr>
        <w:t>。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有线电视板块上市公司合计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：2024年合计营收</w:t>
      </w:r>
      <w:r>
        <w:rPr>
          <w:rFonts w:ascii="Times New Roman" w:hAnsi="Times New Roman"/>
          <w:b/>
          <w:i w:val="false"/>
          <w:color w:val="000000"/>
          <w:sz w:val="22"/>
        </w:rPr>
        <w:t>406.65亿元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，同比**-3.7%</w:t>
      </w:r>
      <w:r>
        <w:rPr>
          <w:rFonts w:ascii="Times New Roman" w:hAnsi="Times New Roman"/>
          <w:b/>
          <w:i w:val="false"/>
          <w:color w:val="000000"/>
          <w:sz w:val="22"/>
        </w:rPr>
        <w:t>；合计归母亏损</w:t>
      </w:r>
      <w:r>
        <w:rPr>
          <w:rFonts w:ascii="Times New Roman" w:hAnsi="Times New Roman"/>
          <w:b w:val="false"/>
          <w:i w:val="false"/>
          <w:color w:val="000000"/>
          <w:sz w:val="22"/>
        </w:rPr>
        <w:t>-26.94亿元**。2024H1合计营收</w:t>
      </w:r>
      <w:r>
        <w:rPr>
          <w:rFonts w:ascii="Times New Roman" w:hAnsi="Times New Roman"/>
          <w:b/>
          <w:i w:val="false"/>
          <w:color w:val="000000"/>
          <w:sz w:val="22"/>
        </w:rPr>
        <w:t>191.83亿元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，同比**-6.9%</w:t>
      </w:r>
      <w:r>
        <w:rPr>
          <w:rFonts w:ascii="Times New Roman" w:hAnsi="Times New Roman"/>
          <w:b/>
          <w:i w:val="false"/>
          <w:color w:val="000000"/>
          <w:sz w:val="22"/>
        </w:rPr>
        <w:t>；合计归母亏损</w:t>
      </w:r>
      <w:r>
        <w:rPr>
          <w:rFonts w:ascii="Times New Roman" w:hAnsi="Times New Roman"/>
          <w:b w:val="false"/>
          <w:i w:val="false"/>
          <w:color w:val="000000"/>
          <w:sz w:val="22"/>
        </w:rPr>
        <w:t>-7.39亿元**。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用户侧供给与渗透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2024年末IPTV用户</w:t>
      </w:r>
      <w:r>
        <w:rPr>
          <w:rFonts w:ascii="Times New Roman" w:hAnsi="Times New Roman"/>
          <w:b/>
          <w:i w:val="false"/>
          <w:color w:val="000000"/>
          <w:sz w:val="22"/>
        </w:rPr>
        <w:t>4.08亿</w:t>
      </w:r>
      <w:r>
        <w:rPr>
          <w:rFonts w:ascii="Times New Roman" w:hAnsi="Times New Roman"/>
          <w:b w:val="false"/>
          <w:i w:val="false"/>
          <w:color w:val="000000"/>
          <w:sz w:val="22"/>
        </w:rPr>
        <w:t>、宽带渗透率</w:t>
      </w:r>
      <w:r>
        <w:rPr>
          <w:rFonts w:ascii="Times New Roman" w:hAnsi="Times New Roman"/>
          <w:b/>
          <w:i w:val="false"/>
          <w:color w:val="000000"/>
          <w:sz w:val="22"/>
        </w:rPr>
        <w:t>60.8%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；2025H1 IPTV用户</w:t>
      </w:r>
      <w:r>
        <w:rPr>
          <w:rFonts w:ascii="Times New Roman" w:hAnsi="Times New Roman"/>
          <w:b/>
          <w:i w:val="false"/>
          <w:color w:val="000000"/>
          <w:sz w:val="22"/>
        </w:rPr>
        <w:t>4.11亿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，较2024年末提升</w:t>
      </w:r>
      <w:r>
        <w:rPr>
          <w:rFonts w:ascii="Times New Roman" w:hAnsi="Times New Roman"/>
          <w:b/>
          <w:i w:val="false"/>
          <w:color w:val="000000"/>
          <w:sz w:val="22"/>
        </w:rPr>
        <w:t>0.04亿</w:t>
      </w:r>
      <w:r>
        <w:rPr>
          <w:rFonts w:ascii="Times New Roman" w:hAnsi="Times New Roman"/>
          <w:b w:val="false"/>
          <w:i w:val="false"/>
          <w:color w:val="000000"/>
          <w:sz w:val="22"/>
        </w:rPr>
        <w:t>。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2024H1全国有线电视实际用户</w:t>
      </w:r>
      <w:r>
        <w:rPr>
          <w:rFonts w:ascii="Times New Roman" w:hAnsi="Times New Roman"/>
          <w:b/>
          <w:i w:val="false"/>
          <w:color w:val="000000"/>
          <w:sz w:val="22"/>
        </w:rPr>
        <w:t>2.08亿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；2024Q1-Q3提升至</w:t>
      </w:r>
      <w:r>
        <w:rPr>
          <w:rFonts w:ascii="Times New Roman" w:hAnsi="Times New Roman"/>
          <w:b/>
          <w:i w:val="false"/>
          <w:color w:val="000000"/>
          <w:sz w:val="22"/>
        </w:rPr>
        <w:t>2.07亿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，较2023年提升约</w:t>
      </w:r>
      <w:r>
        <w:rPr>
          <w:rFonts w:ascii="Times New Roman" w:hAnsi="Times New Roman"/>
          <w:b/>
          <w:i w:val="false"/>
          <w:color w:val="000000"/>
          <w:sz w:val="22"/>
        </w:rPr>
        <w:t>500万户</w:t>
      </w:r>
      <w:r>
        <w:rPr>
          <w:rFonts w:ascii="Times New Roman" w:hAnsi="Times New Roman"/>
          <w:b w:val="false"/>
          <w:i w:val="false"/>
          <w:color w:val="000000"/>
          <w:sz w:val="22"/>
        </w:rPr>
        <w:t>。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海外/出口数据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：参考资料未披露广西广电或电视广播板块的海外出口数据；宏观层面普华永道测算中国娱乐及媒体行业2024-2029年</w:t>
      </w:r>
      <w:r>
        <w:rPr>
          <w:rFonts w:ascii="Times New Roman" w:hAnsi="Times New Roman"/>
          <w:b/>
          <w:i w:val="false"/>
          <w:color w:val="000000"/>
          <w:sz w:val="22"/>
        </w:rPr>
        <w:t>CAGR 4.5%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，中国OTT视频收入</w:t>
      </w:r>
      <w:r>
        <w:rPr>
          <w:rFonts w:ascii="Times New Roman" w:hAnsi="Times New Roman"/>
          <w:b/>
          <w:i w:val="false"/>
          <w:color w:val="000000"/>
          <w:sz w:val="22"/>
        </w:rPr>
        <w:t>2024-2029年CAGR 3.0%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（行业集中度提升，订阅占比提高）。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年度预期与展望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行业监管“套娃收费/操作复杂”治理到位，规范化推进，预期</w:t>
      </w:r>
      <w:r>
        <w:rPr>
          <w:rFonts w:ascii="Times New Roman" w:hAnsi="Times New Roman"/>
          <w:b/>
          <w:i w:val="false"/>
          <w:color w:val="000000"/>
          <w:sz w:val="22"/>
        </w:rPr>
        <w:t>牌照商受益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，大屏端</w:t>
      </w:r>
      <w:r>
        <w:rPr>
          <w:rFonts w:ascii="Times New Roman" w:hAnsi="Times New Roman"/>
          <w:b/>
          <w:i w:val="false"/>
          <w:color w:val="000000"/>
          <w:sz w:val="22"/>
        </w:rPr>
        <w:t>提价空间</w:t>
      </w:r>
      <w:r>
        <w:rPr>
          <w:rFonts w:ascii="Times New Roman" w:hAnsi="Times New Roman"/>
          <w:b w:val="false"/>
          <w:i w:val="false"/>
          <w:color w:val="000000"/>
          <w:sz w:val="22"/>
        </w:rPr>
        <w:t>存在；需持续跟踪2025年政策落地节奏。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4K超高清/超大屏普及与AI赋能内容的落地，将</w:t>
      </w:r>
      <w:r>
        <w:rPr>
          <w:rFonts w:ascii="Times New Roman" w:hAnsi="Times New Roman"/>
          <w:b/>
          <w:i w:val="false"/>
          <w:color w:val="000000"/>
          <w:sz w:val="22"/>
        </w:rPr>
        <w:t>改善大屏端流量与变现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，但短期板块业绩修复仍受用户结构与竞争制约。</w:t>
      </w:r>
    </w:p>
    <w:p>
      <w:pPr>
        <w:spacing w:before="269" w:after="269"/>
        <w:ind w:left="120"/>
        <w:jc w:val="left"/>
      </w:pPr>
      <w:r>
        <w:drawing>
          <wp:inline distT="0" distB="0" distL="0" distR="0">
            <wp:extent cx="5732145" cy="3836839"/>
            <wp:effectExtent l="0" t="0" r="0" b="0"/>
            <wp:docPr id="3" name="" descr="资料来源：广电总局、华泰研究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83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2. 行业竞争格局与竞争对手（国内/国际）及市占变化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国内竞争格局（广电板块）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头部广电公司收入规模相对稳定，板块整体承压。2024年营收TOP包括：华数传媒</w:t>
      </w:r>
      <w:r>
        <w:rPr>
          <w:rFonts w:ascii="Times New Roman" w:hAnsi="Times New Roman"/>
          <w:b/>
          <w:i w:val="false"/>
          <w:color w:val="000000"/>
          <w:sz w:val="22"/>
        </w:rPr>
        <w:t>93.95亿元（-3.22%）</w:t>
      </w:r>
      <w:r>
        <w:rPr>
          <w:rFonts w:ascii="Times New Roman" w:hAnsi="Times New Roman"/>
          <w:b w:val="false"/>
          <w:i w:val="false"/>
          <w:color w:val="000000"/>
          <w:sz w:val="22"/>
        </w:rPr>
        <w:t>、江苏有线</w:t>
      </w:r>
      <w:r>
        <w:rPr>
          <w:rFonts w:ascii="Times New Roman" w:hAnsi="Times New Roman"/>
          <w:b/>
          <w:i w:val="false"/>
          <w:color w:val="000000"/>
          <w:sz w:val="22"/>
        </w:rPr>
        <w:t>79.80亿元（+5.04%）</w:t>
      </w:r>
      <w:r>
        <w:rPr>
          <w:rFonts w:ascii="Times New Roman" w:hAnsi="Times New Roman"/>
          <w:b w:val="false"/>
          <w:i w:val="false"/>
          <w:color w:val="000000"/>
          <w:sz w:val="22"/>
        </w:rPr>
        <w:t>、东方明珠</w:t>
      </w:r>
      <w:r>
        <w:rPr>
          <w:rFonts w:ascii="Times New Roman" w:hAnsi="Times New Roman"/>
          <w:b/>
          <w:i w:val="false"/>
          <w:color w:val="000000"/>
          <w:sz w:val="22"/>
        </w:rPr>
        <w:t>76.98亿元（-3.45%）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；广西广电</w:t>
      </w:r>
      <w:r>
        <w:rPr>
          <w:rFonts w:ascii="Times New Roman" w:hAnsi="Times New Roman"/>
          <w:b/>
          <w:i w:val="false"/>
          <w:color w:val="000000"/>
          <w:sz w:val="22"/>
        </w:rPr>
        <w:t>13.59亿元（-3.20%）</w:t>
      </w:r>
      <w:r>
        <w:rPr>
          <w:rFonts w:ascii="Times New Roman" w:hAnsi="Times New Roman"/>
          <w:b w:val="false"/>
          <w:i w:val="false"/>
          <w:color w:val="000000"/>
          <w:sz w:val="22"/>
        </w:rPr>
        <w:t>。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OTT大屏端平台格局稳固：爱奇艺（银河奇异果）、腾讯视频（云视听极光）、优酷（CIBN酷喵）为第一梯队，芒果TV、哔哩哔哩（云视听小电视）、华数鲜时光MAU增速乏力；综合来看</w:t>
      </w:r>
      <w:r>
        <w:rPr>
          <w:rFonts w:ascii="Times New Roman" w:hAnsi="Times New Roman"/>
          <w:b/>
          <w:i w:val="false"/>
          <w:color w:val="000000"/>
          <w:sz w:val="22"/>
        </w:rPr>
        <w:t>头部平台优势扩大</w:t>
      </w:r>
      <w:r>
        <w:rPr>
          <w:rFonts w:ascii="Times New Roman" w:hAnsi="Times New Roman"/>
          <w:b w:val="false"/>
          <w:i w:val="false"/>
          <w:color w:val="000000"/>
          <w:sz w:val="22"/>
        </w:rPr>
        <w:t>。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牌照商（集成播控）价值凸显，</w:t>
      </w:r>
      <w:r>
        <w:rPr>
          <w:rFonts w:ascii="Times New Roman" w:hAnsi="Times New Roman"/>
          <w:b/>
          <w:i w:val="false"/>
          <w:color w:val="000000"/>
          <w:sz w:val="22"/>
        </w:rPr>
        <w:t>新媒股份、芒果超媒</w:t>
      </w:r>
      <w:r>
        <w:rPr>
          <w:rFonts w:ascii="Times New Roman" w:hAnsi="Times New Roman"/>
          <w:b w:val="false"/>
          <w:i w:val="false"/>
          <w:color w:val="000000"/>
          <w:sz w:val="22"/>
        </w:rPr>
        <w:t>受益于规范整改和大屏提价空间，用户规模与盈利有望改善。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国际维度/相关生态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中国智能电视与酒店电视终端头部集中：2024年酒店电视市场</w:t>
      </w:r>
      <w:r>
        <w:rPr>
          <w:rFonts w:ascii="Times New Roman" w:hAnsi="Times New Roman"/>
          <w:b/>
          <w:i w:val="false"/>
          <w:color w:val="000000"/>
          <w:sz w:val="22"/>
        </w:rPr>
        <w:t>TCL份额33.2%</w:t>
      </w:r>
      <w:r>
        <w:rPr>
          <w:rFonts w:ascii="Times New Roman" w:hAnsi="Times New Roman"/>
          <w:b w:val="false"/>
          <w:i w:val="false"/>
          <w:color w:val="000000"/>
          <w:sz w:val="22"/>
        </w:rPr>
        <w:t>、海信</w:t>
      </w:r>
      <w:r>
        <w:rPr>
          <w:rFonts w:ascii="Times New Roman" w:hAnsi="Times New Roman"/>
          <w:b/>
          <w:i w:val="false"/>
          <w:color w:val="000000"/>
          <w:sz w:val="22"/>
        </w:rPr>
        <w:t>19.9%</w:t>
      </w:r>
      <w:r>
        <w:rPr>
          <w:rFonts w:ascii="Times New Roman" w:hAnsi="Times New Roman"/>
          <w:b w:val="false"/>
          <w:i w:val="false"/>
          <w:color w:val="000000"/>
          <w:sz w:val="22"/>
        </w:rPr>
        <w:t>、创维</w:t>
      </w:r>
      <w:r>
        <w:rPr>
          <w:rFonts w:ascii="Times New Roman" w:hAnsi="Times New Roman"/>
          <w:b/>
          <w:i w:val="false"/>
          <w:color w:val="000000"/>
          <w:sz w:val="22"/>
        </w:rPr>
        <w:t>14%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；呈“三强主导”。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中国OTT订阅与内容生态由本土主流平台主导（近</w:t>
      </w:r>
      <w:r>
        <w:rPr>
          <w:rFonts w:ascii="Times New Roman" w:hAnsi="Times New Roman"/>
          <w:b/>
          <w:i w:val="false"/>
          <w:color w:val="000000"/>
          <w:sz w:val="22"/>
        </w:rPr>
        <w:t>90%用户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），收入模式从广告向订阅转型、AIGC深度应用（提升推荐与生产效率）。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市占/用户结构变化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有线电视用户自2015年触顶后保持约</w:t>
      </w:r>
      <w:r>
        <w:rPr>
          <w:rFonts w:ascii="Times New Roman" w:hAnsi="Times New Roman"/>
          <w:b/>
          <w:i w:val="false"/>
          <w:color w:val="000000"/>
          <w:sz w:val="22"/>
        </w:rPr>
        <w:t>4%</w:t>
      </w:r>
      <w:r>
        <w:rPr>
          <w:rFonts w:ascii="Times New Roman" w:hAnsi="Times New Roman"/>
          <w:b/>
          <w:i w:val="false"/>
          <w:color w:val="000000"/>
          <w:sz w:val="22"/>
        </w:rPr>
        <w:t>年收缩；IPTV/OTT近两年增速放缓但仍增长，2024H1 IPTV同比</w:t>
      </w:r>
      <w:r>
        <w:rPr>
          <w:rFonts w:ascii="Times New Roman" w:hAnsi="Times New Roman"/>
          <w:b/>
          <w:i w:val="false"/>
          <w:color w:val="000000"/>
          <w:sz w:val="22"/>
        </w:rPr>
        <w:t>+3.3%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，OTT同比**+3.1%**。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治理“套娃”后，用户回流、收视增长，开机广告与开机时长显著优化（时长不超</w:t>
      </w:r>
      <w:r>
        <w:rPr>
          <w:rFonts w:ascii="Times New Roman" w:hAnsi="Times New Roman"/>
          <w:b/>
          <w:i w:val="false"/>
          <w:color w:val="000000"/>
          <w:sz w:val="22"/>
        </w:rPr>
        <w:t>35秒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）。</w:t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3. 供需状况、投产节奏与价格趋势</w:t>
      </w:r>
    </w:p>
    <w:p>
      <w:pPr>
        <w:numPr>
          <w:ilvl w:val="0"/>
          <w:numId w:val="4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需求侧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</w:t>
      </w:r>
    </w:p>
    <w:p>
      <w:pPr>
        <w:numPr>
          <w:ilvl w:val="0"/>
          <w:numId w:val="4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家庭大屏作为长视频生态关键入口仍具黏性；春节/奥运等节点带动OTT月活终端与月活率，2025年1月月活终端数达</w:t>
      </w:r>
      <w:r>
        <w:rPr>
          <w:rFonts w:ascii="Times New Roman" w:hAnsi="Times New Roman"/>
          <w:b/>
          <w:i w:val="false"/>
          <w:color w:val="000000"/>
          <w:sz w:val="22"/>
        </w:rPr>
        <w:t>3.14亿台、月活率93%</w:t>
      </w:r>
      <w:r>
        <w:rPr>
          <w:rFonts w:ascii="Times New Roman" w:hAnsi="Times New Roman"/>
          <w:b w:val="false"/>
          <w:i w:val="false"/>
          <w:color w:val="000000"/>
          <w:sz w:val="22"/>
        </w:rPr>
        <w:t>。</w:t>
      </w:r>
    </w:p>
    <w:p>
      <w:pPr>
        <w:numPr>
          <w:ilvl w:val="0"/>
          <w:numId w:val="4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消费者对4K/超大屏内容体验诉求拉动增值服务付费率的提升；政策提出“</w:t>
      </w:r>
      <w:r>
        <w:rPr>
          <w:rFonts w:ascii="Times New Roman" w:hAnsi="Times New Roman"/>
          <w:b/>
          <w:i w:val="false"/>
          <w:color w:val="000000"/>
          <w:sz w:val="22"/>
        </w:rPr>
        <w:t>提升电视大屏优质内容供给能力</w:t>
      </w:r>
      <w:r>
        <w:rPr>
          <w:rFonts w:ascii="Times New Roman" w:hAnsi="Times New Roman"/>
          <w:b w:val="false"/>
          <w:i w:val="false"/>
          <w:color w:val="000000"/>
          <w:sz w:val="22"/>
        </w:rPr>
        <w:t>”。</w:t>
      </w:r>
    </w:p>
    <w:p>
      <w:pPr>
        <w:numPr>
          <w:ilvl w:val="0"/>
          <w:numId w:val="4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供给侧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</w:t>
      </w:r>
    </w:p>
    <w:p>
      <w:pPr>
        <w:numPr>
          <w:ilvl w:val="0"/>
          <w:numId w:val="4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监管推动终端厂商整改与行业标准统一（开机时长、UI规范、付费提示），平台收费权益从终端回归，</w:t>
      </w:r>
      <w:r>
        <w:rPr>
          <w:rFonts w:ascii="Times New Roman" w:hAnsi="Times New Roman"/>
          <w:b/>
          <w:i w:val="false"/>
          <w:color w:val="000000"/>
          <w:sz w:val="22"/>
        </w:rPr>
        <w:t>牌照与平台运营能力</w:t>
      </w:r>
      <w:r>
        <w:rPr>
          <w:rFonts w:ascii="Times New Roman" w:hAnsi="Times New Roman"/>
          <w:b w:val="false"/>
          <w:i w:val="false"/>
          <w:color w:val="000000"/>
          <w:sz w:val="22"/>
        </w:rPr>
        <w:t>成为关键供给要素。</w:t>
      </w:r>
    </w:p>
    <w:p>
      <w:pPr>
        <w:numPr>
          <w:ilvl w:val="0"/>
          <w:numId w:val="4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IPTV与OTT平台加大精品内容与AI内容生产投入，</w:t>
      </w:r>
      <w:r>
        <w:rPr>
          <w:rFonts w:ascii="Times New Roman" w:hAnsi="Times New Roman"/>
          <w:b/>
          <w:i w:val="false"/>
          <w:color w:val="000000"/>
          <w:sz w:val="22"/>
        </w:rPr>
        <w:t>内容供给与分发效率</w:t>
      </w:r>
      <w:r>
        <w:rPr>
          <w:rFonts w:ascii="Times New Roman" w:hAnsi="Times New Roman"/>
          <w:b w:val="false"/>
          <w:i w:val="false"/>
          <w:color w:val="000000"/>
          <w:sz w:val="22"/>
        </w:rPr>
        <w:t>改善。</w:t>
      </w:r>
    </w:p>
    <w:p>
      <w:pPr>
        <w:numPr>
          <w:ilvl w:val="0"/>
          <w:numId w:val="4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价格趋势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</w:t>
      </w:r>
    </w:p>
    <w:p>
      <w:pPr>
        <w:numPr>
          <w:ilvl w:val="0"/>
          <w:numId w:val="4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完成规范整改后，</w:t>
      </w:r>
      <w:r>
        <w:rPr>
          <w:rFonts w:ascii="Times New Roman" w:hAnsi="Times New Roman"/>
          <w:b/>
          <w:i w:val="false"/>
          <w:color w:val="000000"/>
          <w:sz w:val="22"/>
        </w:rPr>
        <w:t>大屏端会员产品存在进一步提价空间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，头部平台与牌照商盈利改善预期增强。</w:t>
      </w:r>
    </w:p>
    <w:p>
      <w:pPr>
        <w:numPr>
          <w:ilvl w:val="0"/>
          <w:numId w:val="4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传统有线网络端在竞争与用户迁移下，</w:t>
      </w:r>
      <w:r>
        <w:rPr>
          <w:rFonts w:ascii="Times New Roman" w:hAnsi="Times New Roman"/>
          <w:b/>
          <w:i w:val="false"/>
          <w:color w:val="000000"/>
          <w:sz w:val="22"/>
        </w:rPr>
        <w:t>收费结构难以显著提升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，板块整体净利率仍处低位负值区间。</w:t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4. 行业发展逻辑（未来驱动）</w:t>
      </w:r>
    </w:p>
    <w:p>
      <w:pPr>
        <w:numPr>
          <w:ilvl w:val="0"/>
          <w:numId w:val="5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监管规范化落地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：套娃治理/操作复杂治理阶段性完成，终端整改与技术标准持续推进，</w:t>
      </w:r>
      <w:r>
        <w:rPr>
          <w:rFonts w:ascii="Times New Roman" w:hAnsi="Times New Roman"/>
          <w:b/>
          <w:i w:val="false"/>
          <w:color w:val="000000"/>
          <w:sz w:val="22"/>
        </w:rPr>
        <w:t>牌照价值与合规运营红利</w:t>
      </w:r>
      <w:r>
        <w:rPr>
          <w:rFonts w:ascii="Times New Roman" w:hAnsi="Times New Roman"/>
          <w:b w:val="false"/>
          <w:i w:val="false"/>
          <w:color w:val="000000"/>
          <w:sz w:val="22"/>
        </w:rPr>
        <w:t>释放。</w:t>
      </w:r>
    </w:p>
    <w:p>
      <w:pPr>
        <w:numPr>
          <w:ilvl w:val="0"/>
          <w:numId w:val="5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技术与内容升级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：4K/8K超高清普及、超大屏迭代、AI+AIGC赋能提升内容供给与推荐效率，推动</w:t>
      </w:r>
      <w:r>
        <w:rPr>
          <w:rFonts w:ascii="Times New Roman" w:hAnsi="Times New Roman"/>
          <w:b/>
          <w:i w:val="false"/>
          <w:color w:val="000000"/>
          <w:sz w:val="22"/>
        </w:rPr>
        <w:t>大屏端流量与ARPU</w:t>
      </w:r>
      <w:r>
        <w:rPr>
          <w:rFonts w:ascii="Times New Roman" w:hAnsi="Times New Roman"/>
          <w:b w:val="false"/>
          <w:i w:val="false"/>
          <w:color w:val="000000"/>
          <w:sz w:val="22"/>
        </w:rPr>
        <w:t>改善。</w:t>
      </w:r>
    </w:p>
    <w:p>
      <w:pPr>
        <w:numPr>
          <w:ilvl w:val="0"/>
          <w:numId w:val="5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5G与融合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：广电5G与一网整合推进、5G NR广播探索，构建“</w:t>
      </w:r>
      <w:r>
        <w:rPr>
          <w:rFonts w:ascii="Times New Roman" w:hAnsi="Times New Roman"/>
          <w:b/>
          <w:i w:val="false"/>
          <w:color w:val="000000"/>
          <w:sz w:val="22"/>
        </w:rPr>
        <w:t>内容+平台+终端</w:t>
      </w:r>
      <w:r>
        <w:rPr>
          <w:rFonts w:ascii="Times New Roman" w:hAnsi="Times New Roman"/>
          <w:b w:val="false"/>
          <w:i w:val="false"/>
          <w:color w:val="000000"/>
          <w:sz w:val="22"/>
        </w:rPr>
        <w:t>”闭环，提高用户付费转化与多元变现。</w:t>
      </w:r>
    </w:p>
    <w:p>
      <w:pPr>
        <w:numPr>
          <w:ilvl w:val="0"/>
          <w:numId w:val="5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宏观与长期空间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：中国娱乐与媒体行业</w:t>
      </w:r>
      <w:r>
        <w:rPr>
          <w:rFonts w:ascii="Times New Roman" w:hAnsi="Times New Roman"/>
          <w:b/>
          <w:i w:val="false"/>
          <w:color w:val="000000"/>
          <w:sz w:val="22"/>
        </w:rPr>
        <w:t>2024-2029年CAGR 4.5%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，OTT视频</w:t>
      </w:r>
      <w:r>
        <w:rPr>
          <w:rFonts w:ascii="Times New Roman" w:hAnsi="Times New Roman"/>
          <w:b/>
          <w:i w:val="false"/>
          <w:color w:val="000000"/>
          <w:sz w:val="22"/>
        </w:rPr>
        <w:t>CAGR 3.0%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，为电视/长视频生态提供中期增长土壤。</w:t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5. 广西广电：最新季报、业务线与增长逻辑、管理层展望</w:t>
      </w:r>
    </w:p>
    <w:p>
      <w:pPr>
        <w:numPr>
          <w:ilvl w:val="0"/>
          <w:numId w:val="6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最新披露与年度回顾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</w:t>
      </w:r>
    </w:p>
    <w:p>
      <w:pPr>
        <w:numPr>
          <w:ilvl w:val="0"/>
          <w:numId w:val="6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2025Q1：营业收入</w:t>
      </w:r>
      <w:r>
        <w:rPr>
          <w:rFonts w:ascii="Times New Roman" w:hAnsi="Times New Roman"/>
          <w:b/>
          <w:i w:val="false"/>
          <w:color w:val="000000"/>
          <w:sz w:val="22"/>
        </w:rPr>
        <w:t>2.62亿元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，同比**-5.78%</w:t>
      </w:r>
      <w:r>
        <w:rPr>
          <w:rFonts w:ascii="Times New Roman" w:hAnsi="Times New Roman"/>
          <w:b/>
          <w:i w:val="false"/>
          <w:color w:val="000000"/>
          <w:sz w:val="22"/>
        </w:rPr>
        <w:t>；归母净利润</w:t>
      </w:r>
      <w:r>
        <w:rPr>
          <w:rFonts w:ascii="Times New Roman" w:hAnsi="Times New Roman"/>
          <w:b w:val="false"/>
          <w:i w:val="false"/>
          <w:color w:val="000000"/>
          <w:sz w:val="22"/>
        </w:rPr>
        <w:t>-1.98亿元**；经营现金流**-1.13亿元**；期末总资产</w:t>
      </w:r>
      <w:r>
        <w:rPr>
          <w:rFonts w:ascii="Times New Roman" w:hAnsi="Times New Roman"/>
          <w:b/>
          <w:i w:val="false"/>
          <w:color w:val="000000"/>
          <w:sz w:val="22"/>
        </w:rPr>
        <w:t>74.11亿元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、归母权益</w:t>
      </w:r>
      <w:r>
        <w:rPr>
          <w:rFonts w:ascii="Times New Roman" w:hAnsi="Times New Roman"/>
          <w:b/>
          <w:i w:val="false"/>
          <w:color w:val="000000"/>
          <w:sz w:val="22"/>
        </w:rPr>
        <w:t>4.54亿元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。</w:t>
      </w:r>
    </w:p>
    <w:p>
      <w:pPr>
        <w:numPr>
          <w:ilvl w:val="0"/>
          <w:numId w:val="6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2024年：实现营业收入</w:t>
      </w:r>
      <w:r>
        <w:rPr>
          <w:rFonts w:ascii="Times New Roman" w:hAnsi="Times New Roman"/>
          <w:b/>
          <w:i w:val="false"/>
          <w:color w:val="000000"/>
          <w:sz w:val="22"/>
        </w:rPr>
        <w:t>13.59亿元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（同比**-3.20%</w:t>
      </w:r>
      <w:r>
        <w:rPr>
          <w:rFonts w:ascii="Times New Roman" w:hAnsi="Times New Roman"/>
          <w:b/>
          <w:i w:val="false"/>
          <w:color w:val="000000"/>
          <w:sz w:val="22"/>
        </w:rPr>
        <w:t>），归母净利润</w:t>
      </w:r>
      <w:r>
        <w:rPr>
          <w:rFonts w:ascii="Times New Roman" w:hAnsi="Times New Roman"/>
          <w:b w:val="false"/>
          <w:i w:val="false"/>
          <w:color w:val="000000"/>
          <w:sz w:val="22"/>
        </w:rPr>
        <w:t>-8.83亿元**；（2024年一季报口径：营收</w:t>
      </w:r>
      <w:r>
        <w:rPr>
          <w:rFonts w:ascii="Times New Roman" w:hAnsi="Times New Roman"/>
          <w:b/>
          <w:i w:val="false"/>
          <w:color w:val="000000"/>
          <w:sz w:val="22"/>
        </w:rPr>
        <w:t>2.78亿元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、同比**-36.97%**）。</w:t>
      </w:r>
    </w:p>
    <w:p>
      <w:pPr>
        <w:numPr>
          <w:ilvl w:val="0"/>
          <w:numId w:val="6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2024年公司年报披露“</w:t>
      </w:r>
      <w:r>
        <w:rPr>
          <w:rFonts w:ascii="Times New Roman" w:hAnsi="Times New Roman"/>
          <w:b/>
          <w:i w:val="false"/>
          <w:color w:val="000000"/>
          <w:sz w:val="22"/>
        </w:rPr>
        <w:t>电视‘套娃’治理</w:t>
      </w:r>
      <w:r>
        <w:rPr>
          <w:rFonts w:ascii="Times New Roman" w:hAnsi="Times New Roman"/>
          <w:b w:val="false"/>
          <w:i w:val="false"/>
          <w:color w:val="000000"/>
          <w:sz w:val="22"/>
        </w:rPr>
        <w:t>、渠道优化、5G物联网卡等推进”，但仍受有线收视需求减弱、竞争加剧、5G业务未形成新的增长点、政企应收回款压力影响，导致亏损扩大。</w:t>
      </w:r>
    </w:p>
    <w:p>
      <w:pPr>
        <w:numPr>
          <w:ilvl w:val="0"/>
          <w:numId w:val="6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业务结构与线条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</w:t>
      </w:r>
    </w:p>
    <w:p>
      <w:pPr>
        <w:numPr>
          <w:ilvl w:val="0"/>
          <w:numId w:val="6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公众业务（数字电视/宽带/节目传输/电信）：</w:t>
      </w:r>
      <w:r>
        <w:rPr>
          <w:rFonts w:ascii="Times New Roman" w:hAnsi="Times New Roman"/>
          <w:b/>
          <w:i w:val="false"/>
          <w:color w:val="000000"/>
          <w:sz w:val="22"/>
        </w:rPr>
        <w:t>受用户迁移与同质化竞争制约、收入承压</w:t>
      </w:r>
      <w:r>
        <w:rPr>
          <w:rFonts w:ascii="Times New Roman" w:hAnsi="Times New Roman"/>
          <w:b w:val="false"/>
          <w:i w:val="false"/>
          <w:color w:val="000000"/>
          <w:sz w:val="22"/>
        </w:rPr>
        <w:t>。</w:t>
      </w:r>
    </w:p>
    <w:p>
      <w:pPr>
        <w:numPr>
          <w:ilvl w:val="0"/>
          <w:numId w:val="6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政企业务（专网/智慧广电/应急广播等）：持续推进应急广播五级贯通与融媒/文旅产品库，但</w:t>
      </w:r>
      <w:r>
        <w:rPr>
          <w:rFonts w:ascii="Times New Roman" w:hAnsi="Times New Roman"/>
          <w:b/>
          <w:i w:val="false"/>
          <w:color w:val="000000"/>
          <w:sz w:val="22"/>
        </w:rPr>
        <w:t>回款不及预期风险</w:t>
      </w:r>
      <w:r>
        <w:rPr>
          <w:rFonts w:ascii="Times New Roman" w:hAnsi="Times New Roman"/>
          <w:b w:val="false"/>
          <w:i w:val="false"/>
          <w:color w:val="000000"/>
          <w:sz w:val="22"/>
        </w:rPr>
        <w:t>存在。</w:t>
      </w:r>
    </w:p>
    <w:p>
      <w:pPr>
        <w:numPr>
          <w:ilvl w:val="0"/>
          <w:numId w:val="6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重大资产置换与增长逻辑（业绩拐点）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</w:t>
      </w:r>
    </w:p>
    <w:p>
      <w:pPr>
        <w:numPr>
          <w:ilvl w:val="0"/>
          <w:numId w:val="6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方案：以广电科技</w:t>
      </w:r>
      <w:r>
        <w:rPr>
          <w:rFonts w:ascii="Times New Roman" w:hAnsi="Times New Roman"/>
          <w:b/>
          <w:i w:val="false"/>
          <w:color w:val="000000"/>
          <w:sz w:val="22"/>
        </w:rPr>
        <w:t>100%股权置出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，置入北投集团持有的交科集团</w:t>
      </w:r>
      <w:r>
        <w:rPr>
          <w:rFonts w:ascii="Times New Roman" w:hAnsi="Times New Roman"/>
          <w:b/>
          <w:i w:val="false"/>
          <w:color w:val="000000"/>
          <w:sz w:val="22"/>
        </w:rPr>
        <w:t>51%股权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；交易预计不涉及差额与现金对价，</w:t>
      </w:r>
      <w:r>
        <w:rPr>
          <w:rFonts w:ascii="Times New Roman" w:hAnsi="Times New Roman"/>
          <w:b/>
          <w:i w:val="false"/>
          <w:color w:val="000000"/>
          <w:sz w:val="22"/>
        </w:rPr>
        <w:t>上市公司不再经营广电网络业务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，转型“数智工程、勘察设计与试验检测、新材料与机电设备生产销售”等。</w:t>
      </w:r>
    </w:p>
    <w:p>
      <w:pPr>
        <w:numPr>
          <w:ilvl w:val="0"/>
          <w:numId w:val="6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交科集团员工与能力：</w:t>
      </w:r>
      <w:r>
        <w:rPr>
          <w:rFonts w:ascii="Times New Roman" w:hAnsi="Times New Roman"/>
          <w:b/>
          <w:i w:val="false"/>
          <w:color w:val="000000"/>
          <w:sz w:val="22"/>
        </w:rPr>
        <w:t>1100余人</w:t>
      </w:r>
      <w:r>
        <w:rPr>
          <w:rFonts w:ascii="Times New Roman" w:hAnsi="Times New Roman"/>
          <w:b w:val="false"/>
          <w:i w:val="false"/>
          <w:color w:val="000000"/>
          <w:sz w:val="22"/>
        </w:rPr>
        <w:t>、博士</w:t>
      </w:r>
      <w:r>
        <w:rPr>
          <w:rFonts w:ascii="Times New Roman" w:hAnsi="Times New Roman"/>
          <w:b/>
          <w:i w:val="false"/>
          <w:color w:val="000000"/>
          <w:sz w:val="22"/>
        </w:rPr>
        <w:t>20+</w:t>
      </w:r>
      <w:r>
        <w:rPr>
          <w:rFonts w:ascii="Times New Roman" w:hAnsi="Times New Roman"/>
          <w:b w:val="false"/>
          <w:i w:val="false"/>
          <w:color w:val="000000"/>
          <w:sz w:val="22"/>
        </w:rPr>
        <w:t>、硕士</w:t>
      </w:r>
      <w:r>
        <w:rPr>
          <w:rFonts w:ascii="Times New Roman" w:hAnsi="Times New Roman"/>
          <w:b/>
          <w:i w:val="false"/>
          <w:color w:val="000000"/>
          <w:sz w:val="22"/>
        </w:rPr>
        <w:t>500+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，拥有道路、桥梁、水运、地质、安全等专业人才与</w:t>
      </w:r>
      <w:r>
        <w:rPr>
          <w:rFonts w:ascii="Times New Roman" w:hAnsi="Times New Roman"/>
          <w:b/>
          <w:i w:val="false"/>
          <w:color w:val="000000"/>
          <w:sz w:val="22"/>
        </w:rPr>
        <w:t>500+信息化人员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，有望实现“专业技术+信息化”融合。</w:t>
      </w:r>
    </w:p>
    <w:p>
      <w:pPr>
        <w:numPr>
          <w:ilvl w:val="0"/>
          <w:numId w:val="6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展望与规划：抓住《广西高速公路网规划（2018-2030年）》机遇，巩固区内“数智工程”业务；借助上市平台推进</w:t>
      </w:r>
      <w:r>
        <w:rPr>
          <w:rFonts w:ascii="Times New Roman" w:hAnsi="Times New Roman"/>
          <w:b/>
          <w:i w:val="false"/>
          <w:color w:val="000000"/>
          <w:sz w:val="22"/>
        </w:rPr>
        <w:t>全产业链一体化</w:t>
      </w:r>
      <w:r>
        <w:rPr>
          <w:rFonts w:ascii="Times New Roman" w:hAnsi="Times New Roman"/>
          <w:b w:val="false"/>
          <w:i w:val="false"/>
          <w:color w:val="000000"/>
          <w:sz w:val="22"/>
        </w:rPr>
        <w:t>与外延扩张；提升融资能力与财务安全性。</w:t>
      </w:r>
    </w:p>
    <w:p>
      <w:pPr>
        <w:numPr>
          <w:ilvl w:val="0"/>
          <w:numId w:val="6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同期财务节奏（同比改善）：2025H1归母净利同比**+9.48%</w:t>
      </w:r>
      <w:r>
        <w:rPr>
          <w:rFonts w:ascii="Times New Roman" w:hAnsi="Times New Roman"/>
          <w:b/>
          <w:i w:val="false"/>
          <w:color w:val="000000"/>
          <w:sz w:val="22"/>
        </w:rPr>
        <w:t>、2025Q3同比</w:t>
      </w:r>
      <w:r>
        <w:rPr>
          <w:rFonts w:ascii="Times New Roman" w:hAnsi="Times New Roman"/>
          <w:b w:val="false"/>
          <w:i w:val="false"/>
          <w:color w:val="000000"/>
          <w:sz w:val="22"/>
        </w:rPr>
        <w:t>+48.99%</w:t>
      </w:r>
      <w:r>
        <w:rPr>
          <w:rFonts w:ascii="Times New Roman" w:hAnsi="Times New Roman"/>
          <w:b/>
          <w:i w:val="false"/>
          <w:color w:val="000000"/>
          <w:sz w:val="22"/>
        </w:rPr>
        <w:t>，但季度净利仍为负（2025Q2/2025Q3：</w:t>
      </w:r>
      <w:r>
        <w:rPr>
          <w:rFonts w:ascii="Times New Roman" w:hAnsi="Times New Roman"/>
          <w:b w:val="false"/>
          <w:i w:val="false"/>
          <w:color w:val="000000"/>
          <w:sz w:val="22"/>
        </w:rPr>
        <w:t>-3.42亿元/-3.44亿元**）。</w:t>
      </w:r>
    </w:p>
    <w:p>
      <w:pPr>
        <w:numPr>
          <w:ilvl w:val="0"/>
          <w:numId w:val="6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管理层对订单/产能/盈利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</w:t>
      </w:r>
    </w:p>
    <w:p>
      <w:pPr>
        <w:numPr>
          <w:ilvl w:val="0"/>
          <w:numId w:val="6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管理层强调通过</w:t>
      </w:r>
      <w:r>
        <w:rPr>
          <w:rFonts w:ascii="Times New Roman" w:hAnsi="Times New Roman"/>
          <w:b/>
          <w:i w:val="false"/>
          <w:color w:val="000000"/>
          <w:sz w:val="22"/>
        </w:rPr>
        <w:t>项目运营闭环、渠道与产品协同、降本控费与三项制度改革</w:t>
      </w:r>
      <w:r>
        <w:rPr>
          <w:rFonts w:ascii="Times New Roman" w:hAnsi="Times New Roman"/>
          <w:b w:val="false"/>
          <w:i w:val="false"/>
          <w:color w:val="000000"/>
          <w:sz w:val="22"/>
        </w:rPr>
        <w:t>来改善经营质量；置入资产预期将</w:t>
      </w:r>
      <w:r>
        <w:rPr>
          <w:rFonts w:ascii="Times New Roman" w:hAnsi="Times New Roman"/>
          <w:b/>
          <w:i w:val="false"/>
          <w:color w:val="000000"/>
          <w:sz w:val="22"/>
        </w:rPr>
        <w:t>提升净利润与回报股东能力</w:t>
      </w:r>
      <w:r>
        <w:rPr>
          <w:rFonts w:ascii="Times New Roman" w:hAnsi="Times New Roman"/>
          <w:b w:val="false"/>
          <w:i w:val="false"/>
          <w:color w:val="000000"/>
          <w:sz w:val="22"/>
        </w:rPr>
        <w:t>。单位产品盈利与分业务利润明细未披露，需后续并表与项目转化落地后跟踪。</w:t>
      </w:r>
    </w:p>
    <w:p>
      <w:pPr>
        <w:numPr>
          <w:ilvl w:val="0"/>
          <w:numId w:val="6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关键风险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：用户流失、政企回款不及预期、技术迭代加速带来的投入压力；转型至全国性科创竞争格局后，外部市场拓展存在挑战。</w:t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6. 同类竞争对手公司比较与竞争位置</w:t>
      </w:r>
    </w:p>
    <w:p>
      <w:pPr>
        <w:numPr>
          <w:ilvl w:val="0"/>
          <w:numId w:val="7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同业收入对比（2024与25Q1）</w:t>
      </w:r>
    </w:p>
    <w:tbl>
      <w:tblPr>
        <w:tblW w:w="0" w:type="auto"/>
        <w:tblCellSpacing w:w="0" w:type="auto"/>
        <w:tblInd w:w="115" w:type="dxa"/>
        <w:tblBorders>
          <w:top w:val="single" w:color="aaaaaa" w:sz="8"/>
          <w:left w:val="single" w:color="aaaaaa" w:sz="8"/>
          <w:bottom w:val="single" w:color="aaaaaa" w:sz="8"/>
          <w:right w:val="single" w:color="aaaaaa" w:sz="8"/>
          <w:insideH w:val="none"/>
          <w:insideV w:val="none"/>
        </w:tblBorders>
      </w:tblPr>
      <w:tblGrid>
        <w:gridCol w:w="1587"/>
        <w:gridCol w:w="4123"/>
        <w:gridCol w:w="7924"/>
      </w:tblGrid>
      <w:tr>
        <w:trPr>
          <w:trHeight w:val="525" w:hRule="atLeast"/>
        </w:trPr>
        <w:tc>
          <w:tcPr>
            <w:tcW w:w="158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公司</w:t>
            </w:r>
          </w:p>
        </w:tc>
        <w:tc>
          <w:tcPr>
            <w:tcW w:w="4123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2024营收(亿元)/YoY</w:t>
            </w:r>
          </w:p>
        </w:tc>
        <w:tc>
          <w:tcPr>
            <w:tcW w:w="7924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25Q1营收(亿元)/YoY</w:t>
            </w:r>
          </w:p>
        </w:tc>
      </w:tr>
      <w:tr>
        <w:trPr>
          <w:trHeight w:val="525" w:hRule="atLeast"/>
        </w:trPr>
        <w:tc>
          <w:tcPr>
            <w:tcW w:w="158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华数传媒</w:t>
            </w:r>
          </w:p>
        </w:tc>
        <w:tc>
          <w:tcPr>
            <w:tcW w:w="4123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93.95 / </w:t>
            </w: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-3.22%</w:t>
            </w:r>
          </w:p>
        </w:tc>
        <w:tc>
          <w:tcPr>
            <w:tcW w:w="7924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21.19 / </w:t>
            </w: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+3.62%</w:t>
            </w:r>
          </w:p>
        </w:tc>
      </w:tr>
      <w:tr>
        <w:trPr>
          <w:trHeight w:val="525" w:hRule="atLeast"/>
        </w:trPr>
        <w:tc>
          <w:tcPr>
            <w:tcW w:w="158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江苏有线</w:t>
            </w:r>
          </w:p>
        </w:tc>
        <w:tc>
          <w:tcPr>
            <w:tcW w:w="4123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79.80 / </w:t>
            </w: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+5.04%</w:t>
            </w:r>
          </w:p>
        </w:tc>
        <w:tc>
          <w:tcPr>
            <w:tcW w:w="7924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18.89 / </w:t>
            </w: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+1.47%</w:t>
            </w:r>
          </w:p>
        </w:tc>
      </w:tr>
      <w:tr>
        <w:trPr>
          <w:trHeight w:val="525" w:hRule="atLeast"/>
        </w:trPr>
        <w:tc>
          <w:tcPr>
            <w:tcW w:w="158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东方明珠</w:t>
            </w:r>
          </w:p>
        </w:tc>
        <w:tc>
          <w:tcPr>
            <w:tcW w:w="4123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76.98 / </w:t>
            </w: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-3.45%</w:t>
            </w:r>
          </w:p>
        </w:tc>
        <w:tc>
          <w:tcPr>
            <w:tcW w:w="7924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14.82 / </w:t>
            </w: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-7.08%</w:t>
            </w:r>
          </w:p>
        </w:tc>
      </w:tr>
      <w:tr>
        <w:trPr>
          <w:trHeight w:val="525" w:hRule="atLeast"/>
        </w:trPr>
        <w:tc>
          <w:tcPr>
            <w:tcW w:w="158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电广传媒</w:t>
            </w:r>
          </w:p>
        </w:tc>
        <w:tc>
          <w:tcPr>
            <w:tcW w:w="4123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39.02 / </w:t>
            </w: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-0.47%</w:t>
            </w:r>
          </w:p>
        </w:tc>
        <w:tc>
          <w:tcPr>
            <w:tcW w:w="7924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9.22 / </w:t>
            </w: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+2.67%</w:t>
            </w:r>
          </w:p>
        </w:tc>
      </w:tr>
      <w:tr>
        <w:trPr>
          <w:trHeight w:val="525" w:hRule="atLeast"/>
        </w:trPr>
        <w:tc>
          <w:tcPr>
            <w:tcW w:w="158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歌华有线</w:t>
            </w:r>
          </w:p>
        </w:tc>
        <w:tc>
          <w:tcPr>
            <w:tcW w:w="4123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23.14 / </w:t>
            </w: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-4.92%</w:t>
            </w:r>
          </w:p>
        </w:tc>
        <w:tc>
          <w:tcPr>
            <w:tcW w:w="7924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4.56 / </w:t>
            </w: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-13.95%</w:t>
            </w:r>
          </w:p>
        </w:tc>
      </w:tr>
      <w:tr>
        <w:trPr>
          <w:trHeight w:val="525" w:hRule="atLeast"/>
        </w:trPr>
        <w:tc>
          <w:tcPr>
            <w:tcW w:w="158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吉视传媒</w:t>
            </w:r>
          </w:p>
        </w:tc>
        <w:tc>
          <w:tcPr>
            <w:tcW w:w="4123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19.82 / </w:t>
            </w: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+23.89%</w:t>
            </w:r>
          </w:p>
        </w:tc>
        <w:tc>
          <w:tcPr>
            <w:tcW w:w="7924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4.99 / </w:t>
            </w: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+43.64%</w:t>
            </w:r>
          </w:p>
        </w:tc>
      </w:tr>
      <w:tr>
        <w:trPr>
          <w:trHeight w:val="525" w:hRule="atLeast"/>
        </w:trPr>
        <w:tc>
          <w:tcPr>
            <w:tcW w:w="158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贵广网络</w:t>
            </w:r>
          </w:p>
        </w:tc>
        <w:tc>
          <w:tcPr>
            <w:tcW w:w="4123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15.96 / </w:t>
            </w: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-13.83%</w:t>
            </w:r>
          </w:p>
        </w:tc>
        <w:tc>
          <w:tcPr>
            <w:tcW w:w="7924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2.79 / </w:t>
            </w: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-22.66%</w:t>
            </w:r>
          </w:p>
        </w:tc>
      </w:tr>
      <w:tr>
        <w:trPr>
          <w:trHeight w:val="525" w:hRule="atLeast"/>
        </w:trPr>
        <w:tc>
          <w:tcPr>
            <w:tcW w:w="158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湖北广电</w:t>
            </w:r>
          </w:p>
        </w:tc>
        <w:tc>
          <w:tcPr>
            <w:tcW w:w="4123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15.91 / </w:t>
            </w: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-19.17%</w:t>
            </w:r>
          </w:p>
        </w:tc>
        <w:tc>
          <w:tcPr>
            <w:tcW w:w="7924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4.15 / </w:t>
            </w: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-7.91%</w:t>
            </w:r>
          </w:p>
        </w:tc>
      </w:tr>
      <w:tr>
        <w:trPr>
          <w:trHeight w:val="525" w:hRule="atLeast"/>
        </w:trPr>
        <w:tc>
          <w:tcPr>
            <w:tcW w:w="158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广电网络</w:t>
            </w:r>
          </w:p>
        </w:tc>
        <w:tc>
          <w:tcPr>
            <w:tcW w:w="4123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15.47 / </w:t>
            </w: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-33.00%</w:t>
            </w:r>
          </w:p>
        </w:tc>
        <w:tc>
          <w:tcPr>
            <w:tcW w:w="7924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3.51 / </w:t>
            </w: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-14.53%</w:t>
            </w:r>
          </w:p>
        </w:tc>
      </w:tr>
      <w:tr>
        <w:trPr>
          <w:trHeight w:val="525" w:hRule="atLeast"/>
        </w:trPr>
        <w:tc>
          <w:tcPr>
            <w:tcW w:w="158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广西广电</w:t>
            </w:r>
          </w:p>
        </w:tc>
        <w:tc>
          <w:tcPr>
            <w:tcW w:w="4123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13.59 / </w:t>
            </w: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-3.20%</w:t>
            </w:r>
          </w:p>
        </w:tc>
        <w:tc>
          <w:tcPr>
            <w:tcW w:w="7924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2.62 / </w:t>
            </w: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-2.58%（板块表）/ -5.78%（一季报）</w:t>
            </w:r>
          </w:p>
        </w:tc>
      </w:tr>
      <w:tr>
        <w:trPr>
          <w:trHeight w:val="525" w:hRule="atLeast"/>
        </w:trPr>
        <w:tc>
          <w:tcPr>
            <w:tcW w:w="158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天威视讯</w:t>
            </w:r>
          </w:p>
        </w:tc>
        <w:tc>
          <w:tcPr>
            <w:tcW w:w="4123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13.03 / </w:t>
            </w: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-11.82%</w:t>
            </w:r>
          </w:p>
        </w:tc>
        <w:tc>
          <w:tcPr>
            <w:tcW w:w="7924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2.62 / </w:t>
            </w: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-2.58%</w:t>
            </w:r>
          </w:p>
        </w:tc>
      </w:tr>
      <w:tr>
        <w:trPr>
          <w:trHeight w:val="525" w:hRule="atLeast"/>
        </w:trPr>
        <w:tc>
          <w:tcPr>
            <w:tcW w:w="158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流金科技</w:t>
            </w:r>
          </w:p>
        </w:tc>
        <w:tc>
          <w:tcPr>
            <w:tcW w:w="4123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6.45 / </w:t>
            </w: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-15.18%</w:t>
            </w:r>
          </w:p>
        </w:tc>
        <w:tc>
          <w:tcPr>
            <w:tcW w:w="7924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0.63 / </w:t>
            </w: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-49.03%</w:t>
            </w:r>
          </w:p>
        </w:tc>
      </w:tr>
    </w:tbl>
    <w:p>
      <w:pPr>
        <w:numPr>
          <w:ilvl w:val="0"/>
          <w:numId w:val="8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同业净利润对比（2024与25Q1）</w:t>
      </w:r>
    </w:p>
    <w:tbl>
      <w:tblPr>
        <w:tblW w:w="0" w:type="auto"/>
        <w:tblCellSpacing w:w="0" w:type="auto"/>
        <w:tblInd w:w="115" w:type="dxa"/>
        <w:tblBorders>
          <w:top w:val="single" w:color="aaaaaa" w:sz="8"/>
          <w:left w:val="single" w:color="aaaaaa" w:sz="8"/>
          <w:bottom w:val="single" w:color="aaaaaa" w:sz="8"/>
          <w:right w:val="single" w:color="aaaaaa" w:sz="8"/>
          <w:insideH w:val="none"/>
          <w:insideV w:val="none"/>
        </w:tblBorders>
      </w:tblPr>
      <w:tblGrid>
        <w:gridCol w:w="1985"/>
        <w:gridCol w:w="4365"/>
        <w:gridCol w:w="7284"/>
      </w:tblGrid>
      <w:tr>
        <w:trPr>
          <w:trHeight w:val="525" w:hRule="atLeast"/>
        </w:trPr>
        <w:tc>
          <w:tcPr>
            <w:tcW w:w="198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公司</w:t>
            </w:r>
          </w:p>
        </w:tc>
        <w:tc>
          <w:tcPr>
            <w:tcW w:w="436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2024归母净利(亿元)</w:t>
            </w:r>
          </w:p>
        </w:tc>
        <w:tc>
          <w:tcPr>
            <w:tcW w:w="7284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25Q1归母净利(亿元)</w:t>
            </w:r>
          </w:p>
        </w:tc>
      </w:tr>
      <w:tr>
        <w:trPr>
          <w:trHeight w:val="510" w:hRule="atLeast"/>
        </w:trPr>
        <w:tc>
          <w:tcPr>
            <w:tcW w:w="198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华数传媒</w:t>
            </w:r>
          </w:p>
        </w:tc>
        <w:tc>
          <w:tcPr>
            <w:tcW w:w="436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5.34</w:t>
            </w:r>
          </w:p>
        </w:tc>
        <w:tc>
          <w:tcPr>
            <w:tcW w:w="7284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1.31</w:t>
            </w:r>
          </w:p>
        </w:tc>
      </w:tr>
      <w:tr>
        <w:trPr>
          <w:trHeight w:val="510" w:hRule="atLeast"/>
        </w:trPr>
        <w:tc>
          <w:tcPr>
            <w:tcW w:w="198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江苏有线</w:t>
            </w:r>
          </w:p>
        </w:tc>
        <w:tc>
          <w:tcPr>
            <w:tcW w:w="436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3.65</w:t>
            </w:r>
          </w:p>
        </w:tc>
        <w:tc>
          <w:tcPr>
            <w:tcW w:w="7284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1.04</w:t>
            </w:r>
          </w:p>
        </w:tc>
      </w:tr>
      <w:tr>
        <w:trPr>
          <w:trHeight w:val="510" w:hRule="atLeast"/>
        </w:trPr>
        <w:tc>
          <w:tcPr>
            <w:tcW w:w="198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东方明珠</w:t>
            </w:r>
          </w:p>
        </w:tc>
        <w:tc>
          <w:tcPr>
            <w:tcW w:w="436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6.69</w:t>
            </w:r>
          </w:p>
        </w:tc>
        <w:tc>
          <w:tcPr>
            <w:tcW w:w="7284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1.21</w:t>
            </w:r>
          </w:p>
        </w:tc>
      </w:tr>
      <w:tr>
        <w:trPr>
          <w:trHeight w:val="510" w:hRule="atLeast"/>
        </w:trPr>
        <w:tc>
          <w:tcPr>
            <w:tcW w:w="198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电广传媒</w:t>
            </w:r>
          </w:p>
        </w:tc>
        <w:tc>
          <w:tcPr>
            <w:tcW w:w="436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0.96</w:t>
            </w:r>
          </w:p>
        </w:tc>
        <w:tc>
          <w:tcPr>
            <w:tcW w:w="7284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0.03</w:t>
            </w:r>
          </w:p>
        </w:tc>
      </w:tr>
      <w:tr>
        <w:trPr>
          <w:trHeight w:val="510" w:hRule="atLeast"/>
        </w:trPr>
        <w:tc>
          <w:tcPr>
            <w:tcW w:w="198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歌华有线</w:t>
            </w:r>
          </w:p>
        </w:tc>
        <w:tc>
          <w:tcPr>
            <w:tcW w:w="436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-0.70</w:t>
            </w:r>
          </w:p>
        </w:tc>
        <w:tc>
          <w:tcPr>
            <w:tcW w:w="7284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0.34</w:t>
            </w:r>
          </w:p>
        </w:tc>
      </w:tr>
      <w:tr>
        <w:trPr>
          <w:trHeight w:val="510" w:hRule="atLeast"/>
        </w:trPr>
        <w:tc>
          <w:tcPr>
            <w:tcW w:w="198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吉视传媒</w:t>
            </w:r>
          </w:p>
        </w:tc>
        <w:tc>
          <w:tcPr>
            <w:tcW w:w="436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-4.65</w:t>
            </w:r>
          </w:p>
        </w:tc>
        <w:tc>
          <w:tcPr>
            <w:tcW w:w="7284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-1.03</w:t>
            </w:r>
          </w:p>
        </w:tc>
      </w:tr>
      <w:tr>
        <w:trPr>
          <w:trHeight w:val="510" w:hRule="atLeast"/>
        </w:trPr>
        <w:tc>
          <w:tcPr>
            <w:tcW w:w="198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贵广网络</w:t>
            </w:r>
          </w:p>
        </w:tc>
        <w:tc>
          <w:tcPr>
            <w:tcW w:w="436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-10.84</w:t>
            </w:r>
          </w:p>
        </w:tc>
        <w:tc>
          <w:tcPr>
            <w:tcW w:w="7284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-2.67</w:t>
            </w:r>
          </w:p>
        </w:tc>
      </w:tr>
      <w:tr>
        <w:trPr>
          <w:trHeight w:val="510" w:hRule="atLeast"/>
        </w:trPr>
        <w:tc>
          <w:tcPr>
            <w:tcW w:w="198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湖北广电</w:t>
            </w:r>
          </w:p>
        </w:tc>
        <w:tc>
          <w:tcPr>
            <w:tcW w:w="436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-7.95</w:t>
            </w:r>
          </w:p>
        </w:tc>
        <w:tc>
          <w:tcPr>
            <w:tcW w:w="7284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-1.11</w:t>
            </w:r>
          </w:p>
        </w:tc>
      </w:tr>
      <w:tr>
        <w:trPr>
          <w:trHeight w:val="510" w:hRule="atLeast"/>
        </w:trPr>
        <w:tc>
          <w:tcPr>
            <w:tcW w:w="198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广电网络</w:t>
            </w:r>
          </w:p>
        </w:tc>
        <w:tc>
          <w:tcPr>
            <w:tcW w:w="436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-10.59</w:t>
            </w:r>
          </w:p>
        </w:tc>
        <w:tc>
          <w:tcPr>
            <w:tcW w:w="7284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-1.48</w:t>
            </w:r>
          </w:p>
        </w:tc>
      </w:tr>
      <w:tr>
        <w:trPr>
          <w:trHeight w:val="510" w:hRule="atLeast"/>
        </w:trPr>
        <w:tc>
          <w:tcPr>
            <w:tcW w:w="198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广西广电</w:t>
            </w:r>
          </w:p>
        </w:tc>
        <w:tc>
          <w:tcPr>
            <w:tcW w:w="436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-8.83</w:t>
            </w:r>
          </w:p>
        </w:tc>
        <w:tc>
          <w:tcPr>
            <w:tcW w:w="7284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-0.10（板块表；公司一季报为-1.98）</w:t>
            </w:r>
          </w:p>
        </w:tc>
      </w:tr>
      <w:tr>
        <w:trPr>
          <w:trHeight w:val="510" w:hRule="atLeast"/>
        </w:trPr>
        <w:tc>
          <w:tcPr>
            <w:tcW w:w="198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天威视讯</w:t>
            </w:r>
          </w:p>
        </w:tc>
        <w:tc>
          <w:tcPr>
            <w:tcW w:w="436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-0.03</w:t>
            </w:r>
          </w:p>
        </w:tc>
        <w:tc>
          <w:tcPr>
            <w:tcW w:w="7284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-0.10</w:t>
            </w:r>
          </w:p>
        </w:tc>
      </w:tr>
      <w:tr>
        <w:trPr>
          <w:trHeight w:val="510" w:hRule="atLeast"/>
        </w:trPr>
        <w:tc>
          <w:tcPr>
            <w:tcW w:w="198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流金科技</w:t>
            </w:r>
          </w:p>
        </w:tc>
        <w:tc>
          <w:tcPr>
            <w:tcW w:w="436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-0.24</w:t>
            </w:r>
          </w:p>
        </w:tc>
        <w:tc>
          <w:tcPr>
            <w:tcW w:w="7284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0.02</w:t>
            </w:r>
          </w:p>
        </w:tc>
      </w:tr>
    </w:tbl>
    <w:p>
      <w:pPr>
        <w:numPr>
          <w:ilvl w:val="0"/>
          <w:numId w:val="9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公司竞争位置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广西广电在广电板块中收入规模位于中下游、净利长期承压；完成资产置换后将与原广电同业分野，竞争维度转向“智慧交通/数智工程”领域，需重估竞争对手与份额结构（目前资料未披露新业务的行业份额与订单结构）。</w:t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7. 2025/2026市场一致预期与估值</w:t>
      </w:r>
    </w:p>
    <w:p>
      <w:pPr>
        <w:numPr>
          <w:ilvl w:val="0"/>
          <w:numId w:val="10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一致预期与估值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：参考资料未披露广西广电2025/2026的市场一致预期收入/利润与估值数据；鉴于公司净利仍为负，</w:t>
      </w:r>
      <w:r>
        <w:rPr>
          <w:rFonts w:ascii="Times New Roman" w:hAnsi="Times New Roman"/>
          <w:b/>
          <w:i w:val="false"/>
          <w:color w:val="000000"/>
          <w:sz w:val="22"/>
        </w:rPr>
        <w:t>PE口径暂不具对比意义</w:t>
      </w:r>
      <w:r>
        <w:rPr>
          <w:rFonts w:ascii="Times New Roman" w:hAnsi="Times New Roman"/>
          <w:b w:val="false"/>
          <w:i w:val="false"/>
          <w:color w:val="000000"/>
          <w:sz w:val="22"/>
        </w:rPr>
        <w:t>。可参考近期</w:t>
      </w:r>
      <w:r>
        <w:rPr>
          <w:rFonts w:ascii="Times New Roman" w:hAnsi="Times New Roman"/>
          <w:b/>
          <w:i w:val="false"/>
          <w:color w:val="000000"/>
          <w:sz w:val="22"/>
        </w:rPr>
        <w:t>总市值与股价</w:t>
      </w:r>
      <w:r>
        <w:rPr>
          <w:rFonts w:ascii="Times New Roman" w:hAnsi="Times New Roman"/>
          <w:b w:val="false"/>
          <w:i w:val="false"/>
          <w:color w:val="000000"/>
          <w:sz w:val="22"/>
        </w:rPr>
        <w:t>走势：总市值</w:t>
      </w:r>
      <w:r>
        <w:rPr>
          <w:rFonts w:ascii="Times New Roman" w:hAnsi="Times New Roman"/>
          <w:b/>
          <w:i w:val="false"/>
          <w:color w:val="000000"/>
          <w:sz w:val="22"/>
        </w:rPr>
        <w:t>约75.53亿元（2025-12-15）</w:t>
      </w:r>
      <w:r>
        <w:rPr>
          <w:rFonts w:ascii="Times New Roman" w:hAnsi="Times New Roman"/>
          <w:b w:val="false"/>
          <w:i w:val="false"/>
          <w:color w:val="000000"/>
          <w:sz w:val="22"/>
        </w:rPr>
        <w:t>、股价收盘</w:t>
      </w:r>
      <w:r>
        <w:rPr>
          <w:rFonts w:ascii="Times New Roman" w:hAnsi="Times New Roman"/>
          <w:b/>
          <w:i w:val="false"/>
          <w:color w:val="000000"/>
          <w:sz w:val="22"/>
        </w:rPr>
        <w:t>4.52元（2025-12-15）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，作为二级市场表现的客观刻画。</w:t>
      </w:r>
    </w:p>
    <w:p>
      <w:pPr>
        <w:numPr>
          <w:ilvl w:val="0"/>
          <w:numId w:val="10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基本面变量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：资产置换完成并并表后，交科集团业务的订单获取、项目转化与现金回款，将决定盈利路径；管理层强调</w:t>
      </w:r>
      <w:r>
        <w:rPr>
          <w:rFonts w:ascii="Times New Roman" w:hAnsi="Times New Roman"/>
          <w:b/>
          <w:i w:val="false"/>
          <w:color w:val="000000"/>
          <w:sz w:val="22"/>
        </w:rPr>
        <w:t>不增加现金对价</w:t>
      </w:r>
      <w:r>
        <w:rPr>
          <w:rFonts w:ascii="Times New Roman" w:hAnsi="Times New Roman"/>
          <w:b w:val="false"/>
          <w:i w:val="false"/>
          <w:color w:val="000000"/>
          <w:sz w:val="22"/>
        </w:rPr>
        <w:t>、提升融资与财务安全性、抓区内/外延机会，属改善估值的重要前提，但需以后续定期报告与公告为准。</w:t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8. 投资要点总结</w:t>
      </w:r>
    </w:p>
    <w:p>
      <w:pPr>
        <w:numPr>
          <w:ilvl w:val="0"/>
          <w:numId w:val="11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短期关注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：资产置换进度、并表时间点、交科集团在“数智工程/智慧交通”的订单落地与毛利结构；广电科技接管后区内广电网络的经营稳定性（对上市公司层面影响弱化）。</w:t>
      </w:r>
    </w:p>
    <w:p>
      <w:pPr>
        <w:numPr>
          <w:ilvl w:val="0"/>
          <w:numId w:val="11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中期催化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：行业监管规范落地后的大屏提价与牌照价值提升（对牌照商直接利好）；交科集团与上市平台的</w:t>
      </w:r>
      <w:r>
        <w:rPr>
          <w:rFonts w:ascii="Times New Roman" w:hAnsi="Times New Roman"/>
          <w:b/>
          <w:i w:val="false"/>
          <w:color w:val="000000"/>
          <w:sz w:val="22"/>
        </w:rPr>
        <w:t>一体化协同与外延扩张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（对公司转型后的利润与估值改善）。</w:t>
      </w:r>
    </w:p>
    <w:p>
      <w:pPr>
        <w:numPr>
          <w:ilvl w:val="0"/>
          <w:numId w:val="11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风险提示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：用户流失/应收回款不及预期、技术迭代带来的资本开支与研发压力、转型后全国化竞争带来的项目获取与回款风险。</w:t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附：行业关键数据总览</w:t>
      </w:r>
    </w:p>
    <w:tbl>
      <w:tblPr>
        <w:tblW w:w="0" w:type="auto"/>
        <w:tblCellSpacing w:w="0" w:type="auto"/>
        <w:tblInd w:w="115" w:type="dxa"/>
        <w:tblBorders>
          <w:top w:val="single" w:color="aaaaaa" w:sz="8"/>
          <w:left w:val="single" w:color="aaaaaa" w:sz="8"/>
          <w:bottom w:val="single" w:color="aaaaaa" w:sz="8"/>
          <w:right w:val="single" w:color="aaaaaa" w:sz="8"/>
          <w:insideH w:val="none"/>
          <w:insideV w:val="none"/>
        </w:tblBorders>
      </w:tblPr>
      <w:tblGrid>
        <w:gridCol w:w="5505"/>
        <w:gridCol w:w="6321"/>
        <w:gridCol w:w="1808"/>
      </w:tblGrid>
      <w:tr>
        <w:trPr>
          <w:trHeight w:val="525" w:hRule="atLeast"/>
        </w:trPr>
        <w:tc>
          <w:tcPr>
            <w:tcW w:w="550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指标</w:t>
            </w:r>
          </w:p>
        </w:tc>
        <w:tc>
          <w:tcPr>
            <w:tcW w:w="6321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数值与增速</w:t>
            </w:r>
          </w:p>
        </w:tc>
        <w:tc>
          <w:tcPr>
            <w:tcW w:w="1808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备注</w:t>
            </w:r>
          </w:p>
        </w:tc>
      </w:tr>
      <w:tr>
        <w:trPr>
          <w:trHeight w:val="525" w:hRule="atLeast"/>
        </w:trPr>
        <w:tc>
          <w:tcPr>
            <w:tcW w:w="550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2024全国广播电视和网络视听总收入</w:t>
            </w:r>
          </w:p>
        </w:tc>
        <w:tc>
          <w:tcPr>
            <w:tcW w:w="6321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14878.02亿元、YoY+5.32%</w:t>
            </w:r>
          </w:p>
        </w:tc>
        <w:tc>
          <w:tcPr>
            <w:tcW w:w="1808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行业整体</w:t>
            </w:r>
          </w:p>
        </w:tc>
      </w:tr>
      <w:tr>
        <w:trPr>
          <w:trHeight w:val="525" w:hRule="atLeast"/>
        </w:trPr>
        <w:tc>
          <w:tcPr>
            <w:tcW w:w="550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2024实际创收收入</w:t>
            </w:r>
          </w:p>
        </w:tc>
        <w:tc>
          <w:tcPr>
            <w:tcW w:w="6321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12855.87亿元、YoY+5.27%</w:t>
            </w:r>
          </w:p>
        </w:tc>
        <w:tc>
          <w:tcPr>
            <w:tcW w:w="1808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行业整体</w:t>
            </w:r>
          </w:p>
        </w:tc>
      </w:tr>
      <w:tr>
        <w:trPr>
          <w:trHeight w:val="525" w:hRule="atLeast"/>
        </w:trPr>
        <w:tc>
          <w:tcPr>
            <w:tcW w:w="550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电视广播板块2024营收/净利</w:t>
            </w:r>
          </w:p>
        </w:tc>
        <w:tc>
          <w:tcPr>
            <w:tcW w:w="6321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438.36亿元、YoY-3.5% / -13.74亿元</w:t>
            </w:r>
          </w:p>
        </w:tc>
        <w:tc>
          <w:tcPr>
            <w:tcW w:w="1808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板块口径</w:t>
            </w:r>
          </w:p>
        </w:tc>
      </w:tr>
      <w:tr>
        <w:trPr>
          <w:trHeight w:val="525" w:hRule="atLeast"/>
        </w:trPr>
        <w:tc>
          <w:tcPr>
            <w:tcW w:w="550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电视广播板块2025Q1营收/净利</w:t>
            </w:r>
          </w:p>
        </w:tc>
        <w:tc>
          <w:tcPr>
            <w:tcW w:w="6321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97.29亿元、YoY-1.2% / -0.9亿元</w:t>
            </w:r>
          </w:p>
        </w:tc>
        <w:tc>
          <w:tcPr>
            <w:tcW w:w="1808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板块口径</w:t>
            </w:r>
          </w:p>
        </w:tc>
      </w:tr>
      <w:tr>
        <w:trPr>
          <w:trHeight w:val="525" w:hRule="atLeast"/>
        </w:trPr>
        <w:tc>
          <w:tcPr>
            <w:tcW w:w="550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广播电视板块2025Q1营收/净利</w:t>
            </w:r>
          </w:p>
        </w:tc>
        <w:tc>
          <w:tcPr>
            <w:tcW w:w="6321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97.92亿元、YoY-1.75% / -0.88亿元</w:t>
            </w:r>
          </w:p>
        </w:tc>
        <w:tc>
          <w:tcPr>
            <w:tcW w:w="1808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另一口径</w:t>
            </w:r>
          </w:p>
        </w:tc>
      </w:tr>
      <w:tr>
        <w:trPr>
          <w:trHeight w:val="525" w:hRule="atLeast"/>
        </w:trPr>
        <w:tc>
          <w:tcPr>
            <w:tcW w:w="550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11家广电企业2024合计营收/净利</w:t>
            </w:r>
          </w:p>
        </w:tc>
        <w:tc>
          <w:tcPr>
            <w:tcW w:w="6321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406.65亿元、YoY-3.7% / -26.94亿元</w:t>
            </w:r>
          </w:p>
        </w:tc>
        <w:tc>
          <w:tcPr>
            <w:tcW w:w="1808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上市公司集合</w:t>
            </w:r>
          </w:p>
        </w:tc>
      </w:tr>
      <w:tr>
        <w:trPr>
          <w:trHeight w:val="525" w:hRule="atLeast"/>
        </w:trPr>
        <w:tc>
          <w:tcPr>
            <w:tcW w:w="550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11家广电企业2024H1合计营收/净利</w:t>
            </w:r>
          </w:p>
        </w:tc>
        <w:tc>
          <w:tcPr>
            <w:tcW w:w="6321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191.83亿元、YoY-6.9% / -7.39亿元</w:t>
            </w:r>
          </w:p>
        </w:tc>
        <w:tc>
          <w:tcPr>
            <w:tcW w:w="1808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上市公司集合</w:t>
            </w:r>
          </w:p>
        </w:tc>
      </w:tr>
      <w:tr>
        <w:trPr>
          <w:trHeight w:val="525" w:hRule="atLeast"/>
        </w:trPr>
        <w:tc>
          <w:tcPr>
            <w:tcW w:w="550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IPTV用户（2024末/2025H1）</w:t>
            </w:r>
          </w:p>
        </w:tc>
        <w:tc>
          <w:tcPr>
            <w:tcW w:w="6321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4.08亿 / 4.11亿</w:t>
            </w:r>
          </w:p>
        </w:tc>
        <w:tc>
          <w:tcPr>
            <w:tcW w:w="1808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行业用户</w:t>
            </w:r>
          </w:p>
        </w:tc>
      </w:tr>
      <w:tr>
        <w:trPr>
          <w:trHeight w:val="525" w:hRule="atLeast"/>
        </w:trPr>
        <w:tc>
          <w:tcPr>
            <w:tcW w:w="550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有线电视用户（2024H1）</w:t>
            </w:r>
          </w:p>
        </w:tc>
        <w:tc>
          <w:tcPr>
            <w:tcW w:w="6321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2.08亿</w:t>
            </w:r>
          </w:p>
        </w:tc>
        <w:tc>
          <w:tcPr>
            <w:tcW w:w="1808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行业用户</w:t>
            </w:r>
          </w:p>
        </w:tc>
      </w:tr>
      <w:tr>
        <w:trPr>
          <w:trHeight w:val="525" w:hRule="atLeast"/>
        </w:trPr>
        <w:tc>
          <w:tcPr>
            <w:tcW w:w="550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中国E&amp;M 2024-2029 CAGR</w:t>
            </w:r>
          </w:p>
        </w:tc>
        <w:tc>
          <w:tcPr>
            <w:tcW w:w="6321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4.5%</w:t>
            </w:r>
          </w:p>
        </w:tc>
        <w:tc>
          <w:tcPr>
            <w:tcW w:w="1808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行业中期</w:t>
            </w:r>
          </w:p>
        </w:tc>
      </w:tr>
      <w:tr>
        <w:trPr>
          <w:trHeight w:val="525" w:hRule="atLeast"/>
        </w:trPr>
        <w:tc>
          <w:tcPr>
            <w:tcW w:w="5505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中国OTT视频2024-2029 CAGR</w:t>
            </w:r>
          </w:p>
        </w:tc>
        <w:tc>
          <w:tcPr>
            <w:tcW w:w="6321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3.0%</w:t>
            </w:r>
          </w:p>
        </w:tc>
        <w:tc>
          <w:tcPr>
            <w:tcW w:w="1808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行业中期</w:t>
            </w:r>
          </w:p>
        </w:tc>
      </w:tr>
    </w:tbl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【可能延伸的思考维度】</w:t>
      </w:r>
    </w:p>
    <w:p>
      <w:pPr>
        <w:numPr>
          <w:ilvl w:val="0"/>
          <w:numId w:val="12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交科集团置入后的并表口径与项目订单结构，是否可以拆解到“数智工程/试验检测/新材料”的分业务收入与毛利率跟踪？</w:t>
      </w:r>
    </w:p>
    <w:p>
      <w:pPr>
        <w:numPr>
          <w:ilvl w:val="0"/>
          <w:numId w:val="12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电视大屏端提价与牌照价值提升进度的量化指标（如ARPU、会员渗透率、MAU/DAU），对于牌照商年度盈利弹性测算。</w:t>
      </w:r>
    </w:p>
    <w:p>
      <w:pPr>
        <w:numPr>
          <w:ilvl w:val="0"/>
          <w:numId w:val="12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广西区内智慧交通与数字政府项目的预算周期与回款机制，对上市公司现金流与账期的敏感性分析。</w:t>
      </w:r>
    </w:p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    <Relationship Target="media/document_image_rId4.jpeg" Type="http://schemas.openxmlformats.org/officeDocument/2006/relationships/image" Id="rId4"/>
    <Relationship Target="media/document_image_rId5.jpeg" Type="http://schemas.openxmlformats.org/officeDocument/2006/relationships/image" Id="rId5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