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9 (Apache licensed) using REFERENCE JAXB in Oracle Java 1.8.0_321 on Linux -->
    <w:p>
      <w:pPr>
        <w:spacing w:before="300" w:after="300"/>
        <w:ind w:left="120"/>
        <w:jc w:val="center"/>
      </w:pPr>
      <w:r>
        <w:rPr>
          <w:rFonts w:ascii="Times New Roman" w:hAnsi="Times New Roman"/>
          <w:b/>
          <w:i w:val="false"/>
          <w:color w:val="000000"/>
          <w:sz w:val="30"/>
        </w:rPr>
        <w:t xml:space="preserve"> 你是一位股票研究专家，你目前的主要工作是... </w:t>
      </w:r>
    </w:p>
    <w:p>
      <w:pPr>
        <w:spacing w:before="180" w:after="180"/>
        <w:ind w:left="120"/>
        <w:jc w:val="left"/>
      </w:pPr>
      <w:r>
        <w:rPr>
          <w:rFonts w:ascii="Times New Roman" w:hAnsi="Times New Roman"/>
          <w:b/>
          <w:i w:val="false"/>
          <w:color w:val="000000"/>
          <w:sz w:val="33"/>
        </w:rPr>
        <w:t>结论</w:t>
      </w:r>
    </w:p>
    <w:p>
      <w:pPr>
        <w:numPr>
          <w:ilvl w:val="0"/>
          <w:numId w:val="1"/>
        </w:numPr>
        <w:spacing w:before="0" w:after="0"/>
        <w:jc w:val="left"/>
      </w:pPr>
      <w:r>
        <w:rPr>
          <w:rFonts w:ascii="Times New Roman" w:hAnsi="Times New Roman"/>
          <w:b w:val="false"/>
          <w:i w:val="false"/>
          <w:color w:val="000000"/>
          <w:sz w:val="22"/>
        </w:rPr>
        <w:t>广西广电（600936）已于2025年8月底完成重大资产置换，上市公司主业由“广电网络”转型为“数智工程、勘察设计与试验检测、新材料及机电设备生产与销售”等智慧交通相关业务，备考口径显示资产质量与盈利能力显著改善，但2025年Q1仍处于旧业务亏损周期、且25Q3季度指标显示实际扭亏尚未兑现，需以全年并表后数据验证转型成效与盈利可持续性。</w:t>
      </w:r>
    </w:p>
    <w:p>
      <w:pPr>
        <w:numPr>
          <w:ilvl w:val="0"/>
          <w:numId w:val="1"/>
        </w:numPr>
        <w:spacing w:before="0" w:after="0"/>
        <w:jc w:val="left"/>
      </w:pPr>
      <w:r>
        <w:rPr>
          <w:rFonts w:ascii="Times New Roman" w:hAnsi="Times New Roman"/>
          <w:b w:val="false"/>
          <w:i w:val="false"/>
          <w:color w:val="000000"/>
          <w:sz w:val="22"/>
        </w:rPr>
        <w:t>广播电视与网络视听行业2024年总收入与实际创收保持中高速增长、OTT/大屏提价与监管规范利好牌照商，但电视广播上市板块（有线电视）仍整体承压，用户结构与盈利修复依赖监管落地与5G/一网整合推进。广西广电原主业（广电网络）属亏损梯队，转型后有望脱离板块负拖累，核心看交科集团业务落地与区域资源协同的兑现节奏。</w:t>
      </w:r>
    </w:p>
    <w:p>
      <w:pPr>
        <w:numPr>
          <w:ilvl w:val="0"/>
          <w:numId w:val="1"/>
        </w:numPr>
        <w:spacing w:before="0" w:after="0"/>
        <w:jc w:val="left"/>
      </w:pPr>
      <w:r>
        <w:rPr>
          <w:rFonts w:ascii="Times New Roman" w:hAnsi="Times New Roman"/>
          <w:b w:val="false"/>
          <w:i w:val="false"/>
          <w:color w:val="000000"/>
          <w:sz w:val="22"/>
        </w:rPr>
        <w:t>投资抓手：短期关注资产并表后的经营数据与订单执行；中期关注智慧交通领域“全产业链一体化+区域工程资源+数字化信息系统集成”的规模化复制，以及国企资源协同带来的现金流与风险控制改善；同时密切跟踪广电监管与大屏端价格策略对原业务残余影响（如政企项目回款、用户结构）在剥离后是否仍有历史尾项扰动。</w:t>
      </w:r>
    </w:p>
    <w:p>
      <w:pPr>
        <w:spacing w:before="180" w:after="180"/>
        <w:ind w:left="120"/>
        <w:jc w:val="left"/>
      </w:pPr>
      <w:r>
        <w:rPr>
          <w:rFonts w:ascii="Times New Roman" w:hAnsi="Times New Roman"/>
          <w:b/>
          <w:i w:val="false"/>
          <w:color w:val="000000"/>
          <w:sz w:val="33"/>
        </w:rPr>
        <w:t>1. 行业数据、同比增速与今年/明年预期</w:t>
      </w:r>
    </w:p>
    <w:p>
      <w:pPr>
        <w:numPr>
          <w:ilvl w:val="0"/>
          <w:numId w:val="2"/>
        </w:numPr>
        <w:spacing w:before="0" w:after="0"/>
        <w:jc w:val="left"/>
      </w:pPr>
      <w:r>
        <w:rPr>
          <w:rFonts w:ascii="Times New Roman" w:hAnsi="Times New Roman"/>
          <w:b/>
          <w:i w:val="false"/>
          <w:color w:val="000000"/>
          <w:sz w:val="22"/>
        </w:rPr>
        <w:t>全国广电与网络视听行业规模与增速</w:t>
      </w:r>
    </w:p>
    <w:p>
      <w:pPr>
        <w:numPr>
          <w:ilvl w:val="0"/>
          <w:numId w:val="2"/>
        </w:numPr>
        <w:spacing w:before="0" w:after="0"/>
        <w:jc w:val="left"/>
      </w:pPr>
      <w:r>
        <w:rPr>
          <w:rFonts w:ascii="Times New Roman" w:hAnsi="Times New Roman"/>
          <w:b w:val="false"/>
          <w:i w:val="false"/>
          <w:color w:val="000000"/>
          <w:sz w:val="22"/>
        </w:rPr>
        <w:t>2024年全国广电与网络视听行业总收入为</w:t>
      </w:r>
      <w:r>
        <w:rPr>
          <w:rFonts w:ascii="Times New Roman" w:hAnsi="Times New Roman"/>
          <w:b/>
          <w:i w:val="false"/>
          <w:color w:val="000000"/>
          <w:sz w:val="22"/>
        </w:rPr>
        <w:t>14878.02亿元</w:t>
      </w:r>
      <w:r>
        <w:rPr>
          <w:rFonts w:ascii="Times New Roman" w:hAnsi="Times New Roman"/>
          <w:b w:val="false"/>
          <w:i w:val="false"/>
          <w:color w:val="000000"/>
          <w:sz w:val="22"/>
        </w:rPr>
        <w:t>，同比**+5.32%</w:t>
      </w:r>
      <w:r>
        <w:rPr>
          <w:rFonts w:ascii="Times New Roman" w:hAnsi="Times New Roman"/>
          <w:b/>
          <w:i w:val="false"/>
          <w:color w:val="000000"/>
          <w:sz w:val="22"/>
        </w:rPr>
        <w:t>；其中实际创收收入</w:t>
      </w:r>
      <w:r>
        <w:rPr>
          <w:rFonts w:ascii="Times New Roman" w:hAnsi="Times New Roman"/>
          <w:b w:val="false"/>
          <w:i w:val="false"/>
          <w:color w:val="000000"/>
          <w:sz w:val="22"/>
        </w:rPr>
        <w:t>12855.87亿元**，同比**+5.27%**。</w:t>
      </w:r>
    </w:p>
    <w:p>
      <w:pPr>
        <w:numPr>
          <w:ilvl w:val="0"/>
          <w:numId w:val="2"/>
        </w:numPr>
        <w:spacing w:before="0" w:after="0"/>
        <w:jc w:val="left"/>
      </w:pPr>
      <w:r>
        <w:rPr>
          <w:rFonts w:ascii="Times New Roman" w:hAnsi="Times New Roman"/>
          <w:b w:val="false"/>
          <w:i w:val="false"/>
          <w:color w:val="000000"/>
          <w:sz w:val="22"/>
        </w:rPr>
        <w:t>构成侧显示：2024年有线电视网络收入</w:t>
      </w:r>
      <w:r>
        <w:rPr>
          <w:rFonts w:ascii="Times New Roman" w:hAnsi="Times New Roman"/>
          <w:b/>
          <w:i w:val="false"/>
          <w:color w:val="000000"/>
          <w:sz w:val="22"/>
        </w:rPr>
        <w:t>739.37亿元</w:t>
      </w:r>
      <w:r>
        <w:rPr>
          <w:rFonts w:ascii="Times New Roman" w:hAnsi="Times New Roman"/>
          <w:b w:val="false"/>
          <w:i w:val="false"/>
          <w:color w:val="000000"/>
          <w:sz w:val="22"/>
        </w:rPr>
        <w:t>、网络视听收入</w:t>
      </w:r>
      <w:r>
        <w:rPr>
          <w:rFonts w:ascii="Times New Roman" w:hAnsi="Times New Roman"/>
          <w:b/>
          <w:i w:val="false"/>
          <w:color w:val="000000"/>
          <w:sz w:val="22"/>
        </w:rPr>
        <w:t>6346.18亿元</w:t>
      </w:r>
      <w:r>
        <w:rPr>
          <w:rFonts w:ascii="Times New Roman" w:hAnsi="Times New Roman"/>
          <w:b w:val="false"/>
          <w:i w:val="false"/>
          <w:color w:val="000000"/>
          <w:sz w:val="22"/>
        </w:rPr>
        <w:t>、实际创收</w:t>
      </w:r>
      <w:r>
        <w:rPr>
          <w:rFonts w:ascii="Times New Roman" w:hAnsi="Times New Roman"/>
          <w:b/>
          <w:i w:val="false"/>
          <w:color w:val="000000"/>
          <w:sz w:val="22"/>
        </w:rPr>
        <w:t>12855.87亿元</w:t>
      </w:r>
      <w:r>
        <w:rPr>
          <w:rFonts w:ascii="Times New Roman" w:hAnsi="Times New Roman"/>
          <w:b w:val="false"/>
          <w:i w:val="false"/>
          <w:color w:val="000000"/>
          <w:sz w:val="22"/>
        </w:rPr>
        <w:t>，较2022/2023年继续增长；有线电视收入2023-2024小幅回升，网络视听与实际创收连续增长（见下图）。</w:t>
      </w:r>
      <w:r>
        <w:drawing>
          <wp:inline distT="0" distB="0" distL="0" distR="0">
            <wp:extent cx="5732145" cy="3610883"/>
            <wp:effectExtent l="0" t="0" r="0" b="0"/>
            <wp:docPr id="2"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5732145" cy="3610883"/>
                    </a:xfrm>
                    <a:prstGeom prst="rect">
                      <a:avLst/>
                    </a:prstGeom>
                  </pic:spPr>
                </pic:pic>
              </a:graphicData>
            </a:graphic>
          </wp:inline>
        </w:drawing>
      </w:r>
    </w:p>
    <w:p>
      <w:pPr>
        <w:numPr>
          <w:ilvl w:val="0"/>
          <w:numId w:val="2"/>
        </w:numPr>
        <w:spacing w:before="0" w:after="0"/>
        <w:jc w:val="left"/>
      </w:pPr>
      <w:r>
        <w:rPr>
          <w:rFonts w:ascii="Times New Roman" w:hAnsi="Times New Roman"/>
          <w:b/>
          <w:i w:val="false"/>
          <w:color w:val="000000"/>
          <w:sz w:val="22"/>
        </w:rPr>
        <w:t>网络视听行业</w:t>
      </w:r>
    </w:p>
    <w:p>
      <w:pPr>
        <w:numPr>
          <w:ilvl w:val="0"/>
          <w:numId w:val="2"/>
        </w:numPr>
        <w:spacing w:before="0" w:after="0"/>
        <w:jc w:val="left"/>
      </w:pPr>
      <w:r>
        <w:rPr>
          <w:rFonts w:ascii="Times New Roman" w:hAnsi="Times New Roman"/>
          <w:b w:val="false"/>
          <w:i w:val="false"/>
          <w:color w:val="000000"/>
          <w:sz w:val="22"/>
        </w:rPr>
        <w:t>2024年中国网络视听市场规模为</w:t>
      </w:r>
      <w:r>
        <w:rPr>
          <w:rFonts w:ascii="Times New Roman" w:hAnsi="Times New Roman"/>
          <w:b/>
          <w:i w:val="false"/>
          <w:color w:val="000000"/>
          <w:sz w:val="22"/>
        </w:rPr>
        <w:t>12226.49亿元</w:t>
      </w:r>
      <w:r>
        <w:rPr>
          <w:rFonts w:ascii="Times New Roman" w:hAnsi="Times New Roman"/>
          <w:b w:val="false"/>
          <w:i w:val="false"/>
          <w:color w:val="000000"/>
          <w:sz w:val="22"/>
        </w:rPr>
        <w:t>，同比增长（具体比例未给出），下沉市场释放活力。</w:t>
      </w:r>
    </w:p>
    <w:p>
      <w:pPr>
        <w:numPr>
          <w:ilvl w:val="0"/>
          <w:numId w:val="2"/>
        </w:numPr>
        <w:spacing w:before="0" w:after="0"/>
        <w:jc w:val="left"/>
      </w:pPr>
      <w:r>
        <w:rPr>
          <w:rFonts w:ascii="Times New Roman" w:hAnsi="Times New Roman"/>
          <w:b/>
          <w:i w:val="false"/>
          <w:color w:val="000000"/>
          <w:sz w:val="22"/>
        </w:rPr>
        <w:t>电视广播（申万板块）上市公司群体表现</w:t>
      </w:r>
    </w:p>
    <w:p>
      <w:pPr>
        <w:numPr>
          <w:ilvl w:val="0"/>
          <w:numId w:val="2"/>
        </w:numPr>
        <w:spacing w:before="0" w:after="0"/>
        <w:jc w:val="left"/>
      </w:pPr>
      <w:r>
        <w:rPr>
          <w:rFonts w:ascii="Times New Roman" w:hAnsi="Times New Roman"/>
          <w:b w:val="false"/>
          <w:i w:val="false"/>
          <w:color w:val="000000"/>
          <w:sz w:val="22"/>
        </w:rPr>
        <w:t>2024年板块实现营收</w:t>
      </w:r>
      <w:r>
        <w:rPr>
          <w:rFonts w:ascii="Times New Roman" w:hAnsi="Times New Roman"/>
          <w:b/>
          <w:i w:val="false"/>
          <w:color w:val="000000"/>
          <w:sz w:val="22"/>
        </w:rPr>
        <w:t>438.36亿元</w:t>
      </w:r>
      <w:r>
        <w:rPr>
          <w:rFonts w:ascii="Times New Roman" w:hAnsi="Times New Roman"/>
          <w:b w:val="false"/>
          <w:i w:val="false"/>
          <w:color w:val="000000"/>
          <w:sz w:val="22"/>
        </w:rPr>
        <w:t>，同比**-3.5%</w:t>
      </w:r>
      <w:r>
        <w:rPr>
          <w:rFonts w:ascii="Times New Roman" w:hAnsi="Times New Roman"/>
          <w:b/>
          <w:i w:val="false"/>
          <w:color w:val="000000"/>
          <w:sz w:val="22"/>
        </w:rPr>
        <w:t>；归母净利润</w:t>
      </w:r>
      <w:r>
        <w:rPr>
          <w:rFonts w:ascii="Times New Roman" w:hAnsi="Times New Roman"/>
          <w:b w:val="false"/>
          <w:i w:val="false"/>
          <w:color w:val="000000"/>
          <w:sz w:val="22"/>
        </w:rPr>
        <w:t>-13.74亿元**（亏损）。2025Q1营收</w:t>
      </w:r>
      <w:r>
        <w:rPr>
          <w:rFonts w:ascii="Times New Roman" w:hAnsi="Times New Roman"/>
          <w:b/>
          <w:i w:val="false"/>
          <w:color w:val="000000"/>
          <w:sz w:val="22"/>
        </w:rPr>
        <w:t>97.29亿元</w:t>
      </w:r>
      <w:r>
        <w:rPr>
          <w:rFonts w:ascii="Times New Roman" w:hAnsi="Times New Roman"/>
          <w:b w:val="false"/>
          <w:i w:val="false"/>
          <w:color w:val="000000"/>
          <w:sz w:val="22"/>
        </w:rPr>
        <w:t>，同比**-1.2%</w:t>
      </w:r>
      <w:r>
        <w:rPr>
          <w:rFonts w:ascii="Times New Roman" w:hAnsi="Times New Roman"/>
          <w:b/>
          <w:i w:val="false"/>
          <w:color w:val="000000"/>
          <w:sz w:val="22"/>
        </w:rPr>
        <w:t>；归母净利润</w:t>
      </w:r>
      <w:r>
        <w:rPr>
          <w:rFonts w:ascii="Times New Roman" w:hAnsi="Times New Roman"/>
          <w:b w:val="false"/>
          <w:i w:val="false"/>
          <w:color w:val="000000"/>
          <w:sz w:val="22"/>
        </w:rPr>
        <w:t>-0.9亿元**（亏损收窄）。</w:t>
      </w:r>
    </w:p>
    <w:p>
      <w:pPr>
        <w:numPr>
          <w:ilvl w:val="0"/>
          <w:numId w:val="2"/>
        </w:numPr>
        <w:spacing w:before="0" w:after="0"/>
        <w:jc w:val="left"/>
      </w:pPr>
      <w:r>
        <w:rPr>
          <w:rFonts w:ascii="Times New Roman" w:hAnsi="Times New Roman"/>
          <w:b w:val="false"/>
          <w:i w:val="false"/>
          <w:color w:val="000000"/>
          <w:sz w:val="22"/>
        </w:rPr>
        <w:t>另一口径显示：2025Q1营收</w:t>
      </w:r>
      <w:r>
        <w:rPr>
          <w:rFonts w:ascii="Times New Roman" w:hAnsi="Times New Roman"/>
          <w:b/>
          <w:i w:val="false"/>
          <w:color w:val="000000"/>
          <w:sz w:val="22"/>
        </w:rPr>
        <w:t>97.92亿元</w:t>
      </w:r>
      <w:r>
        <w:rPr>
          <w:rFonts w:ascii="Times New Roman" w:hAnsi="Times New Roman"/>
          <w:b w:val="false"/>
          <w:i w:val="false"/>
          <w:color w:val="000000"/>
          <w:sz w:val="22"/>
        </w:rPr>
        <w:t>，同比**-1.75%</w:t>
      </w:r>
      <w:r>
        <w:rPr>
          <w:rFonts w:ascii="Times New Roman" w:hAnsi="Times New Roman"/>
          <w:b/>
          <w:i w:val="false"/>
          <w:color w:val="000000"/>
          <w:sz w:val="22"/>
        </w:rPr>
        <w:t>；归母净利润</w:t>
      </w:r>
      <w:r>
        <w:rPr>
          <w:rFonts w:ascii="Times New Roman" w:hAnsi="Times New Roman"/>
          <w:b w:val="false"/>
          <w:i w:val="false"/>
          <w:color w:val="000000"/>
          <w:sz w:val="22"/>
        </w:rPr>
        <w:t>-0.88亿元**，毛利率/净利率分别降至</w:t>
      </w:r>
      <w:r>
        <w:rPr>
          <w:rFonts w:ascii="Times New Roman" w:hAnsi="Times New Roman"/>
          <w:b/>
          <w:i w:val="false"/>
          <w:color w:val="000000"/>
          <w:sz w:val="22"/>
        </w:rPr>
        <w:t>23.99%</w:t>
      </w:r>
      <w:r>
        <w:rPr>
          <w:rFonts w:ascii="Times New Roman" w:hAnsi="Times New Roman"/>
          <w:b w:val="false"/>
          <w:i w:val="false"/>
          <w:color w:val="000000"/>
          <w:sz w:val="22"/>
        </w:rPr>
        <w:t>/</w:t>
      </w:r>
      <w:r>
        <w:rPr>
          <w:rFonts w:ascii="Times New Roman" w:hAnsi="Times New Roman"/>
          <w:b/>
          <w:i w:val="false"/>
          <w:color w:val="000000"/>
          <w:sz w:val="22"/>
        </w:rPr>
        <w:t>-0.77%</w:t>
      </w:r>
      <w:r>
        <w:rPr>
          <w:rFonts w:ascii="Times New Roman" w:hAnsi="Times New Roman"/>
          <w:b w:val="false"/>
          <w:i w:val="false"/>
          <w:color w:val="000000"/>
          <w:sz w:val="22"/>
        </w:rPr>
        <w:t>。</w:t>
      </w:r>
    </w:p>
    <w:p>
      <w:pPr>
        <w:numPr>
          <w:ilvl w:val="0"/>
          <w:numId w:val="2"/>
        </w:numPr>
        <w:spacing w:before="0" w:after="0"/>
        <w:jc w:val="left"/>
      </w:pPr>
      <w:r>
        <w:rPr>
          <w:rFonts w:ascii="Times New Roman" w:hAnsi="Times New Roman"/>
          <w:b/>
          <w:i w:val="false"/>
          <w:color w:val="000000"/>
          <w:sz w:val="22"/>
        </w:rPr>
        <w:t>广电板块（11家有线电视）</w:t>
      </w:r>
    </w:p>
    <w:p>
      <w:pPr>
        <w:numPr>
          <w:ilvl w:val="0"/>
          <w:numId w:val="2"/>
        </w:numPr>
        <w:spacing w:before="0" w:after="0"/>
        <w:jc w:val="left"/>
      </w:pPr>
      <w:r>
        <w:rPr>
          <w:rFonts w:ascii="Times New Roman" w:hAnsi="Times New Roman"/>
          <w:b w:val="false"/>
          <w:i w:val="false"/>
          <w:color w:val="000000"/>
          <w:sz w:val="22"/>
        </w:rPr>
        <w:t>2024年合计营收</w:t>
      </w:r>
      <w:r>
        <w:rPr>
          <w:rFonts w:ascii="Times New Roman" w:hAnsi="Times New Roman"/>
          <w:b/>
          <w:i w:val="false"/>
          <w:color w:val="000000"/>
          <w:sz w:val="22"/>
        </w:rPr>
        <w:t>406.65亿元</w:t>
      </w:r>
      <w:r>
        <w:rPr>
          <w:rFonts w:ascii="Times New Roman" w:hAnsi="Times New Roman"/>
          <w:b w:val="false"/>
          <w:i w:val="false"/>
          <w:color w:val="000000"/>
          <w:sz w:val="22"/>
        </w:rPr>
        <w:t>，同比**-3.7%</w:t>
      </w:r>
      <w:r>
        <w:rPr>
          <w:rFonts w:ascii="Times New Roman" w:hAnsi="Times New Roman"/>
          <w:b/>
          <w:i w:val="false"/>
          <w:color w:val="000000"/>
          <w:sz w:val="22"/>
        </w:rPr>
        <w:t>；归母净亏损</w:t>
      </w:r>
      <w:r>
        <w:rPr>
          <w:rFonts w:ascii="Times New Roman" w:hAnsi="Times New Roman"/>
          <w:b w:val="false"/>
          <w:i w:val="false"/>
          <w:color w:val="000000"/>
          <w:sz w:val="22"/>
        </w:rPr>
        <w:t>26.94亿元**，亏损扩大。2025Q1合计营收</w:t>
      </w:r>
      <w:r>
        <w:rPr>
          <w:rFonts w:ascii="Times New Roman" w:hAnsi="Times New Roman"/>
          <w:b/>
          <w:i w:val="false"/>
          <w:color w:val="000000"/>
          <w:sz w:val="22"/>
        </w:rPr>
        <w:t>89.36亿元</w:t>
      </w:r>
      <w:r>
        <w:rPr>
          <w:rFonts w:ascii="Times New Roman" w:hAnsi="Times New Roman"/>
          <w:b w:val="false"/>
          <w:i w:val="false"/>
          <w:color w:val="000000"/>
          <w:sz w:val="22"/>
        </w:rPr>
        <w:t>，同比/环比均下滑；归母净亏损</w:t>
      </w:r>
      <w:r>
        <w:rPr>
          <w:rFonts w:ascii="Times New Roman" w:hAnsi="Times New Roman"/>
          <w:b/>
          <w:i w:val="false"/>
          <w:color w:val="000000"/>
          <w:sz w:val="22"/>
        </w:rPr>
        <w:t>4.45亿元</w:t>
      </w:r>
      <w:r>
        <w:rPr>
          <w:rFonts w:ascii="Times New Roman" w:hAnsi="Times New Roman"/>
          <w:b w:val="false"/>
          <w:i w:val="false"/>
          <w:color w:val="000000"/>
          <w:sz w:val="22"/>
        </w:rPr>
        <w:t>，环比亏损扩大、同比亏损收窄。</w:t>
      </w:r>
    </w:p>
    <w:p>
      <w:pPr>
        <w:numPr>
          <w:ilvl w:val="0"/>
          <w:numId w:val="2"/>
        </w:numPr>
        <w:spacing w:before="0" w:after="0"/>
        <w:jc w:val="left"/>
      </w:pPr>
      <w:r>
        <w:rPr>
          <w:rFonts w:ascii="Times New Roman" w:hAnsi="Times New Roman"/>
          <w:b w:val="false"/>
          <w:i w:val="false"/>
          <w:color w:val="000000"/>
          <w:sz w:val="22"/>
        </w:rPr>
        <w:t>2024H1营收</w:t>
      </w:r>
      <w:r>
        <w:rPr>
          <w:rFonts w:ascii="Times New Roman" w:hAnsi="Times New Roman"/>
          <w:b/>
          <w:i w:val="false"/>
          <w:color w:val="000000"/>
          <w:sz w:val="22"/>
        </w:rPr>
        <w:t>191.83亿元</w:t>
      </w:r>
      <w:r>
        <w:rPr>
          <w:rFonts w:ascii="Times New Roman" w:hAnsi="Times New Roman"/>
          <w:b w:val="false"/>
          <w:i w:val="false"/>
          <w:color w:val="000000"/>
          <w:sz w:val="22"/>
        </w:rPr>
        <w:t>，同比**-6.9%</w:t>
      </w:r>
      <w:r>
        <w:rPr>
          <w:rFonts w:ascii="Times New Roman" w:hAnsi="Times New Roman"/>
          <w:b/>
          <w:i w:val="false"/>
          <w:color w:val="000000"/>
          <w:sz w:val="22"/>
        </w:rPr>
        <w:t>，归母净亏</w:t>
      </w:r>
      <w:r>
        <w:rPr>
          <w:rFonts w:ascii="Times New Roman" w:hAnsi="Times New Roman"/>
          <w:b w:val="false"/>
          <w:i w:val="false"/>
          <w:color w:val="000000"/>
          <w:sz w:val="22"/>
        </w:rPr>
        <w:t>7.39亿元**；2025H1营收</w:t>
      </w:r>
      <w:r>
        <w:rPr>
          <w:rFonts w:ascii="Times New Roman" w:hAnsi="Times New Roman"/>
          <w:b/>
          <w:i w:val="false"/>
          <w:color w:val="000000"/>
          <w:sz w:val="22"/>
        </w:rPr>
        <w:t>191.09亿元</w:t>
      </w:r>
      <w:r>
        <w:rPr>
          <w:rFonts w:ascii="Times New Roman" w:hAnsi="Times New Roman"/>
          <w:b w:val="false"/>
          <w:i w:val="false"/>
          <w:color w:val="000000"/>
          <w:sz w:val="22"/>
        </w:rPr>
        <w:t>，同比**-0.4%</w:t>
      </w:r>
      <w:r>
        <w:rPr>
          <w:rFonts w:ascii="Times New Roman" w:hAnsi="Times New Roman"/>
          <w:b/>
          <w:i w:val="false"/>
          <w:color w:val="000000"/>
          <w:sz w:val="22"/>
        </w:rPr>
        <w:t>，归母净亏</w:t>
      </w:r>
      <w:r>
        <w:rPr>
          <w:rFonts w:ascii="Times New Roman" w:hAnsi="Times New Roman"/>
          <w:b w:val="false"/>
          <w:i w:val="false"/>
          <w:color w:val="000000"/>
          <w:sz w:val="22"/>
        </w:rPr>
        <w:t>9.39亿元**，亏损扩大。</w:t>
      </w:r>
    </w:p>
    <w:p>
      <w:pPr>
        <w:numPr>
          <w:ilvl w:val="0"/>
          <w:numId w:val="2"/>
        </w:numPr>
        <w:spacing w:before="0" w:after="0"/>
        <w:jc w:val="left"/>
      </w:pPr>
      <w:r>
        <w:rPr>
          <w:rFonts w:ascii="Times New Roman" w:hAnsi="Times New Roman"/>
          <w:b/>
          <w:i w:val="false"/>
          <w:color w:val="000000"/>
          <w:sz w:val="22"/>
        </w:rPr>
        <w:t>用户与渗透率（IPTV/OTT/有线）</w:t>
      </w:r>
    </w:p>
    <w:p>
      <w:pPr>
        <w:numPr>
          <w:ilvl w:val="0"/>
          <w:numId w:val="2"/>
        </w:numPr>
        <w:spacing w:before="0" w:after="0"/>
        <w:jc w:val="left"/>
      </w:pPr>
      <w:r>
        <w:rPr>
          <w:rFonts w:ascii="Times New Roman" w:hAnsi="Times New Roman"/>
          <w:b w:val="false"/>
          <w:i w:val="false"/>
          <w:color w:val="000000"/>
          <w:sz w:val="22"/>
        </w:rPr>
        <w:t>2024年末全国IPTV用户</w:t>
      </w:r>
      <w:r>
        <w:rPr>
          <w:rFonts w:ascii="Times New Roman" w:hAnsi="Times New Roman"/>
          <w:b/>
          <w:i w:val="false"/>
          <w:color w:val="000000"/>
          <w:sz w:val="22"/>
        </w:rPr>
        <w:t>4.08亿</w:t>
      </w:r>
      <w:r>
        <w:rPr>
          <w:rFonts w:ascii="Times New Roman" w:hAnsi="Times New Roman"/>
          <w:b w:val="false"/>
          <w:i w:val="false"/>
          <w:color w:val="000000"/>
          <w:sz w:val="22"/>
        </w:rPr>
        <w:t>，对宽带渗透率降至</w:t>
      </w:r>
      <w:r>
        <w:rPr>
          <w:rFonts w:ascii="Times New Roman" w:hAnsi="Times New Roman"/>
          <w:b/>
          <w:i w:val="false"/>
          <w:color w:val="000000"/>
          <w:sz w:val="22"/>
        </w:rPr>
        <w:t>60.8%</w:t>
      </w:r>
      <w:r>
        <w:rPr>
          <w:rFonts w:ascii="Times New Roman" w:hAnsi="Times New Roman"/>
          <w:b w:val="false"/>
          <w:i w:val="false"/>
          <w:color w:val="000000"/>
          <w:sz w:val="22"/>
        </w:rPr>
        <w:t>；2024H1 IPTV用户</w:t>
      </w:r>
      <w:r>
        <w:rPr>
          <w:rFonts w:ascii="Times New Roman" w:hAnsi="Times New Roman"/>
          <w:b/>
          <w:i w:val="false"/>
          <w:color w:val="000000"/>
          <w:sz w:val="22"/>
        </w:rPr>
        <w:t>4.05亿</w:t>
      </w:r>
      <w:r>
        <w:rPr>
          <w:rFonts w:ascii="Times New Roman" w:hAnsi="Times New Roman"/>
          <w:b w:val="false"/>
          <w:i w:val="false"/>
          <w:color w:val="000000"/>
          <w:sz w:val="22"/>
        </w:rPr>
        <w:t>，有线电视用户</w:t>
      </w:r>
      <w:r>
        <w:rPr>
          <w:rFonts w:ascii="Times New Roman" w:hAnsi="Times New Roman"/>
          <w:b/>
          <w:i w:val="false"/>
          <w:color w:val="000000"/>
          <w:sz w:val="22"/>
        </w:rPr>
        <w:t>2.08亿</w:t>
      </w:r>
      <w:r>
        <w:rPr>
          <w:rFonts w:ascii="Times New Roman" w:hAnsi="Times New Roman"/>
          <w:b w:val="false"/>
          <w:i w:val="false"/>
          <w:color w:val="000000"/>
          <w:sz w:val="22"/>
        </w:rPr>
        <w:t>较23年底回升约600万户。</w:t>
      </w:r>
    </w:p>
    <w:p>
      <w:pPr>
        <w:numPr>
          <w:ilvl w:val="0"/>
          <w:numId w:val="2"/>
        </w:numPr>
        <w:spacing w:before="0" w:after="0"/>
        <w:jc w:val="left"/>
      </w:pPr>
      <w:r>
        <w:rPr>
          <w:rFonts w:ascii="Times New Roman" w:hAnsi="Times New Roman"/>
          <w:b w:val="false"/>
          <w:i w:val="false"/>
          <w:color w:val="000000"/>
          <w:sz w:val="22"/>
        </w:rPr>
        <w:t>2025年1月OTT月活终端数</w:t>
      </w:r>
      <w:r>
        <w:rPr>
          <w:rFonts w:ascii="Times New Roman" w:hAnsi="Times New Roman"/>
          <w:b/>
          <w:i w:val="false"/>
          <w:color w:val="000000"/>
          <w:sz w:val="22"/>
        </w:rPr>
        <w:t>3.14亿台</w:t>
      </w:r>
      <w:r>
        <w:rPr>
          <w:rFonts w:ascii="Times New Roman" w:hAnsi="Times New Roman"/>
          <w:b w:val="false"/>
          <w:i w:val="false"/>
          <w:color w:val="000000"/>
          <w:sz w:val="22"/>
        </w:rPr>
        <w:t>、月活率</w:t>
      </w:r>
      <w:r>
        <w:rPr>
          <w:rFonts w:ascii="Times New Roman" w:hAnsi="Times New Roman"/>
          <w:b/>
          <w:i w:val="false"/>
          <w:color w:val="000000"/>
          <w:sz w:val="22"/>
        </w:rPr>
        <w:t>93%</w:t>
      </w:r>
      <w:r>
        <w:rPr>
          <w:rFonts w:ascii="Times New Roman" w:hAnsi="Times New Roman"/>
          <w:b w:val="false"/>
          <w:i w:val="false"/>
          <w:color w:val="000000"/>
          <w:sz w:val="22"/>
        </w:rPr>
        <w:t>；春节节点大屏MAU显著增长。</w:t>
      </w:r>
    </w:p>
    <w:p>
      <w:pPr>
        <w:numPr>
          <w:ilvl w:val="0"/>
          <w:numId w:val="2"/>
        </w:numPr>
        <w:spacing w:before="0" w:after="0"/>
        <w:jc w:val="left"/>
      </w:pPr>
      <w:r>
        <w:rPr>
          <w:rFonts w:ascii="Times New Roman" w:hAnsi="Times New Roman"/>
          <w:b w:val="false"/>
          <w:i w:val="false"/>
          <w:color w:val="000000"/>
          <w:sz w:val="22"/>
        </w:rPr>
        <w:t>有线电视用户长期下滑，2024较2023有所回升但仍低于2019-2020（如下图）。</w:t>
      </w:r>
      <w:r>
        <w:drawing>
          <wp:inline distT="0" distB="0" distL="0" distR="0">
            <wp:extent cx="5732145" cy="3836839"/>
            <wp:effectExtent l="0" t="0" r="0" b="0"/>
            <wp:docPr id="3" name="" descr="资料来源：广电总局、华泰研究"/>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5732145" cy="3836839"/>
                    </a:xfrm>
                    <a:prstGeom prst="rect">
                      <a:avLst/>
                    </a:prstGeom>
                  </pic:spPr>
                </pic:pic>
              </a:graphicData>
            </a:graphic>
          </wp:inline>
        </w:drawing>
      </w:r>
    </w:p>
    <w:p>
      <w:pPr>
        <w:numPr>
          <w:ilvl w:val="0"/>
          <w:numId w:val="2"/>
        </w:numPr>
        <w:spacing w:before="0" w:after="0"/>
        <w:jc w:val="left"/>
      </w:pPr>
      <w:r>
        <w:rPr>
          <w:rFonts w:ascii="Times New Roman" w:hAnsi="Times New Roman"/>
          <w:b/>
          <w:i w:val="false"/>
          <w:color w:val="000000"/>
          <w:sz w:val="22"/>
        </w:rPr>
        <w:t>今年/明年预期与监管方向</w:t>
      </w:r>
    </w:p>
    <w:p>
      <w:pPr>
        <w:numPr>
          <w:ilvl w:val="0"/>
          <w:numId w:val="2"/>
        </w:numPr>
        <w:spacing w:before="0" w:after="0"/>
        <w:jc w:val="left"/>
      </w:pPr>
      <w:r>
        <w:rPr>
          <w:rFonts w:ascii="Times New Roman" w:hAnsi="Times New Roman"/>
          <w:b w:val="false"/>
          <w:i w:val="false"/>
          <w:color w:val="000000"/>
          <w:sz w:val="22"/>
        </w:rPr>
        <w:t>监管“套娃收费/操作复杂”治理阶段性完成，</w:t>
      </w:r>
      <w:r>
        <w:rPr>
          <w:rFonts w:ascii="Times New Roman" w:hAnsi="Times New Roman"/>
          <w:b/>
          <w:i w:val="false"/>
          <w:color w:val="000000"/>
          <w:sz w:val="22"/>
        </w:rPr>
        <w:t>完成终端厂商整改后牌照价值凸显</w:t>
      </w:r>
      <w:r>
        <w:rPr>
          <w:rFonts w:ascii="Times New Roman" w:hAnsi="Times New Roman"/>
          <w:b w:val="false"/>
          <w:i w:val="false"/>
          <w:color w:val="000000"/>
          <w:sz w:val="22"/>
        </w:rPr>
        <w:t>、大屏端产品</w:t>
      </w:r>
      <w:r>
        <w:rPr>
          <w:rFonts w:ascii="Times New Roman" w:hAnsi="Times New Roman"/>
          <w:b/>
          <w:i w:val="false"/>
          <w:color w:val="000000"/>
          <w:sz w:val="22"/>
        </w:rPr>
        <w:t>或有进一步提价空间</w:t>
      </w:r>
      <w:r>
        <w:rPr>
          <w:rFonts w:ascii="Times New Roman" w:hAnsi="Times New Roman"/>
          <w:b w:val="false"/>
          <w:i w:val="false"/>
          <w:color w:val="000000"/>
          <w:sz w:val="22"/>
        </w:rPr>
        <w:t>；需关注政策规范与监管落地节奏持续推进至2025年。</w:t>
      </w:r>
    </w:p>
    <w:p>
      <w:pPr>
        <w:numPr>
          <w:ilvl w:val="0"/>
          <w:numId w:val="2"/>
        </w:numPr>
        <w:spacing w:before="0" w:after="0"/>
        <w:jc w:val="left"/>
      </w:pPr>
      <w:r>
        <w:rPr>
          <w:rFonts w:ascii="Times New Roman" w:hAnsi="Times New Roman"/>
          <w:b w:val="false"/>
          <w:i w:val="false"/>
          <w:color w:val="000000"/>
          <w:sz w:val="22"/>
        </w:rPr>
        <w:t>行业长期看“媒体融合+广电5G+规范监管”主线延续，</w:t>
      </w:r>
      <w:r>
        <w:rPr>
          <w:rFonts w:ascii="Times New Roman" w:hAnsi="Times New Roman"/>
          <w:b/>
          <w:i w:val="false"/>
          <w:color w:val="000000"/>
          <w:sz w:val="22"/>
        </w:rPr>
        <w:t>有线电视板块承压</w:t>
      </w:r>
      <w:r>
        <w:rPr>
          <w:rFonts w:ascii="Times New Roman" w:hAnsi="Times New Roman"/>
          <w:b w:val="false"/>
          <w:i w:val="false"/>
          <w:color w:val="000000"/>
          <w:sz w:val="22"/>
        </w:rPr>
        <w:t>但随一网整合与广电5G落地仍有修复空间。</w:t>
      </w:r>
    </w:p>
    <w:p>
      <w:pPr>
        <w:numPr>
          <w:ilvl w:val="0"/>
          <w:numId w:val="2"/>
        </w:numPr>
        <w:spacing w:before="0" w:after="0"/>
        <w:jc w:val="left"/>
      </w:pPr>
      <w:r>
        <w:rPr>
          <w:rFonts w:ascii="Times New Roman" w:hAnsi="Times New Roman"/>
          <w:b w:val="false"/>
          <w:i w:val="false"/>
          <w:color w:val="000000"/>
          <w:sz w:val="22"/>
        </w:rPr>
        <w:t>注：参考信息未披露明确的海外出口数据或同比增速，暂无可引用的出口统计与同比指标。</w:t>
      </w:r>
    </w:p>
    <w:p>
      <w:pPr>
        <w:spacing w:before="180" w:after="180"/>
        <w:ind w:left="120"/>
        <w:jc w:val="left"/>
      </w:pPr>
      <w:r>
        <w:rPr>
          <w:rFonts w:ascii="Times New Roman" w:hAnsi="Times New Roman"/>
          <w:b/>
          <w:i w:val="false"/>
          <w:color w:val="000000"/>
          <w:sz w:val="33"/>
        </w:rPr>
        <w:t>2. 竞争格局与竞争对手（国内/国际）与市占变化</w:t>
      </w:r>
    </w:p>
    <w:p>
      <w:pPr>
        <w:numPr>
          <w:ilvl w:val="0"/>
          <w:numId w:val="3"/>
        </w:numPr>
        <w:spacing w:before="0" w:after="0"/>
        <w:jc w:val="left"/>
      </w:pPr>
      <w:r>
        <w:rPr>
          <w:rFonts w:ascii="Times New Roman" w:hAnsi="Times New Roman"/>
          <w:b/>
          <w:i w:val="false"/>
          <w:color w:val="000000"/>
          <w:sz w:val="22"/>
        </w:rPr>
        <w:t>大屏（OTT）平台格局</w:t>
      </w:r>
    </w:p>
    <w:p>
      <w:pPr>
        <w:numPr>
          <w:ilvl w:val="0"/>
          <w:numId w:val="3"/>
        </w:numPr>
        <w:spacing w:before="0" w:after="0"/>
        <w:jc w:val="left"/>
      </w:pPr>
      <w:r>
        <w:rPr>
          <w:rFonts w:ascii="Times New Roman" w:hAnsi="Times New Roman"/>
          <w:b w:val="false"/>
          <w:i w:val="false"/>
          <w:color w:val="000000"/>
          <w:sz w:val="22"/>
        </w:rPr>
        <w:t>大屏端第一梯队为：爱奇艺（银河奇异果）、腾讯视频（云视听极光）、优酷（CIBN酷喵影视），</w:t>
      </w:r>
      <w:r>
        <w:rPr>
          <w:rFonts w:ascii="Times New Roman" w:hAnsi="Times New Roman"/>
          <w:b/>
          <w:i w:val="false"/>
          <w:color w:val="000000"/>
          <w:sz w:val="22"/>
        </w:rPr>
        <w:t>MAU头部位置稳固</w:t>
      </w:r>
      <w:r>
        <w:rPr>
          <w:rFonts w:ascii="Times New Roman" w:hAnsi="Times New Roman"/>
          <w:b w:val="false"/>
          <w:i w:val="false"/>
          <w:color w:val="000000"/>
          <w:sz w:val="22"/>
        </w:rPr>
        <w:t>，增速较快；芒果TV、哔哩哔哩（云视听小电视）、华数鲜时光位列后续梯队，MAU增速乏力。</w:t>
      </w:r>
    </w:p>
    <w:p>
      <w:pPr>
        <w:numPr>
          <w:ilvl w:val="0"/>
          <w:numId w:val="3"/>
        </w:numPr>
        <w:spacing w:before="0" w:after="0"/>
        <w:jc w:val="left"/>
      </w:pPr>
      <w:r>
        <w:rPr>
          <w:rFonts w:ascii="Times New Roman" w:hAnsi="Times New Roman"/>
          <w:b w:val="false"/>
          <w:i w:val="false"/>
          <w:color w:val="000000"/>
          <w:sz w:val="22"/>
        </w:rPr>
        <w:t>完成终端规范整改后，</w:t>
      </w:r>
      <w:r>
        <w:rPr>
          <w:rFonts w:ascii="Times New Roman" w:hAnsi="Times New Roman"/>
          <w:b/>
          <w:i w:val="false"/>
          <w:color w:val="000000"/>
          <w:sz w:val="22"/>
        </w:rPr>
        <w:t>牌照商（新媒股份、芒果超媒）受益</w:t>
      </w:r>
      <w:r>
        <w:rPr>
          <w:rFonts w:ascii="Times New Roman" w:hAnsi="Times New Roman"/>
          <w:b w:val="false"/>
          <w:i w:val="false"/>
          <w:color w:val="000000"/>
          <w:sz w:val="22"/>
        </w:rPr>
        <w:t>，抢占从电视机厂商释出的用户份额。</w:t>
      </w:r>
    </w:p>
    <w:p>
      <w:pPr>
        <w:numPr>
          <w:ilvl w:val="0"/>
          <w:numId w:val="3"/>
        </w:numPr>
        <w:spacing w:before="0" w:after="0"/>
        <w:jc w:val="left"/>
      </w:pPr>
      <w:r>
        <w:rPr>
          <w:rFonts w:ascii="Times New Roman" w:hAnsi="Times New Roman"/>
          <w:b/>
          <w:i w:val="false"/>
          <w:color w:val="000000"/>
          <w:sz w:val="22"/>
        </w:rPr>
        <w:t>牌照与集成播控（上市牌照商）</w:t>
      </w:r>
    </w:p>
    <w:p>
      <w:pPr>
        <w:numPr>
          <w:ilvl w:val="0"/>
          <w:numId w:val="3"/>
        </w:numPr>
        <w:spacing w:before="0" w:after="0"/>
        <w:jc w:val="left"/>
      </w:pPr>
      <w:r>
        <w:rPr>
          <w:rFonts w:ascii="Times New Roman" w:hAnsi="Times New Roman"/>
          <w:b w:val="false"/>
          <w:i w:val="false"/>
          <w:color w:val="000000"/>
          <w:sz w:val="22"/>
        </w:rPr>
        <w:t>新媒股份与芒果超媒为唯二拥有集成播控服务牌照的上市公司，牌照优势明显；云视听系列（新媒）与芒果TV（大屏端）MAU排名前列（新媒：云视听极光/小电视，芒果：大屏端第4）。</w:t>
      </w:r>
    </w:p>
    <w:p>
      <w:pPr>
        <w:numPr>
          <w:ilvl w:val="0"/>
          <w:numId w:val="3"/>
        </w:numPr>
        <w:spacing w:before="0" w:after="0"/>
        <w:jc w:val="left"/>
      </w:pPr>
      <w:r>
        <w:rPr>
          <w:rFonts w:ascii="Times New Roman" w:hAnsi="Times New Roman"/>
          <w:b/>
          <w:i w:val="false"/>
          <w:color w:val="000000"/>
          <w:sz w:val="22"/>
        </w:rPr>
        <w:t>广电（有线电视）上市公司对比（收入/利润）</w:t>
      </w:r>
    </w:p>
    <w:p>
      <w:pPr>
        <w:numPr>
          <w:ilvl w:val="0"/>
          <w:numId w:val="3"/>
        </w:numPr>
        <w:spacing w:before="0" w:after="0"/>
        <w:jc w:val="left"/>
      </w:pPr>
      <w:r>
        <w:rPr>
          <w:rFonts w:ascii="Times New Roman" w:hAnsi="Times New Roman"/>
          <w:b w:val="false"/>
          <w:i w:val="false"/>
          <w:color w:val="000000"/>
          <w:sz w:val="22"/>
        </w:rPr>
        <w:t>2024年收入与净利分化显著：江苏有线营收</w:t>
      </w:r>
      <w:r>
        <w:rPr>
          <w:rFonts w:ascii="Times New Roman" w:hAnsi="Times New Roman"/>
          <w:b/>
          <w:i w:val="false"/>
          <w:color w:val="000000"/>
          <w:sz w:val="22"/>
        </w:rPr>
        <w:t>79.80亿元</w:t>
      </w:r>
      <w:r>
        <w:rPr>
          <w:rFonts w:ascii="Times New Roman" w:hAnsi="Times New Roman"/>
          <w:b w:val="false"/>
          <w:i w:val="false"/>
          <w:color w:val="000000"/>
          <w:sz w:val="22"/>
        </w:rPr>
        <w:t>、归母净利</w:t>
      </w:r>
      <w:r>
        <w:rPr>
          <w:rFonts w:ascii="Times New Roman" w:hAnsi="Times New Roman"/>
          <w:b/>
          <w:i w:val="false"/>
          <w:color w:val="000000"/>
          <w:sz w:val="22"/>
        </w:rPr>
        <w:t>3.65亿元</w:t>
      </w:r>
      <w:r>
        <w:rPr>
          <w:rFonts w:ascii="Times New Roman" w:hAnsi="Times New Roman"/>
          <w:b w:val="false"/>
          <w:i w:val="false"/>
          <w:color w:val="000000"/>
          <w:sz w:val="22"/>
        </w:rPr>
        <w:t>（正值），东方明珠营收</w:t>
      </w:r>
      <w:r>
        <w:rPr>
          <w:rFonts w:ascii="Times New Roman" w:hAnsi="Times New Roman"/>
          <w:b/>
          <w:i w:val="false"/>
          <w:color w:val="000000"/>
          <w:sz w:val="22"/>
        </w:rPr>
        <w:t>76.98亿元</w:t>
      </w:r>
      <w:r>
        <w:rPr>
          <w:rFonts w:ascii="Times New Roman" w:hAnsi="Times New Roman"/>
          <w:b w:val="false"/>
          <w:i w:val="false"/>
          <w:color w:val="000000"/>
          <w:sz w:val="22"/>
        </w:rPr>
        <w:t>、归母净利</w:t>
      </w:r>
      <w:r>
        <w:rPr>
          <w:rFonts w:ascii="Times New Roman" w:hAnsi="Times New Roman"/>
          <w:b/>
          <w:i w:val="false"/>
          <w:color w:val="000000"/>
          <w:sz w:val="22"/>
        </w:rPr>
        <w:t>6.69亿元</w:t>
      </w:r>
      <w:r>
        <w:rPr>
          <w:rFonts w:ascii="Times New Roman" w:hAnsi="Times New Roman"/>
          <w:b w:val="false"/>
          <w:i w:val="false"/>
          <w:color w:val="000000"/>
          <w:sz w:val="22"/>
        </w:rPr>
        <w:t>（正值）；广西广电营收</w:t>
      </w:r>
      <w:r>
        <w:rPr>
          <w:rFonts w:ascii="Times New Roman" w:hAnsi="Times New Roman"/>
          <w:b/>
          <w:i w:val="false"/>
          <w:color w:val="000000"/>
          <w:sz w:val="22"/>
        </w:rPr>
        <w:t>13.59亿元</w:t>
      </w:r>
      <w:r>
        <w:rPr>
          <w:rFonts w:ascii="Times New Roman" w:hAnsi="Times New Roman"/>
          <w:b w:val="false"/>
          <w:i w:val="false"/>
          <w:color w:val="000000"/>
          <w:sz w:val="22"/>
        </w:rPr>
        <w:t>、归母净利**-8.83亿元**（亏损），处于重亏行列。</w:t>
      </w:r>
    </w:p>
    <w:p>
      <w:pPr>
        <w:numPr>
          <w:ilvl w:val="0"/>
          <w:numId w:val="3"/>
        </w:numPr>
        <w:spacing w:before="0" w:after="0"/>
        <w:jc w:val="left"/>
      </w:pPr>
      <w:r>
        <w:rPr>
          <w:rFonts w:ascii="Times New Roman" w:hAnsi="Times New Roman"/>
          <w:b/>
          <w:i w:val="false"/>
          <w:color w:val="000000"/>
          <w:sz w:val="22"/>
        </w:rPr>
        <w:t>国际对手</w:t>
      </w:r>
    </w:p>
    <w:p>
      <w:pPr>
        <w:numPr>
          <w:ilvl w:val="0"/>
          <w:numId w:val="3"/>
        </w:numPr>
        <w:spacing w:before="0" w:after="0"/>
        <w:jc w:val="left"/>
      </w:pPr>
      <w:r>
        <w:rPr>
          <w:rFonts w:ascii="Times New Roman" w:hAnsi="Times New Roman"/>
          <w:b w:val="false"/>
          <w:i w:val="false"/>
          <w:color w:val="000000"/>
          <w:sz w:val="22"/>
        </w:rPr>
        <w:t>参考信息未披露广电网络或OTT大屏在国际市场的具体对手市占对比与变化，无可引用的国际市占数据。</w:t>
      </w:r>
    </w:p>
    <w:p>
      <w:pPr>
        <w:spacing w:before="180" w:after="180"/>
        <w:ind w:left="120"/>
        <w:jc w:val="left"/>
      </w:pPr>
      <w:r>
        <w:rPr>
          <w:rFonts w:ascii="Times New Roman" w:hAnsi="Times New Roman"/>
          <w:b/>
          <w:i w:val="false"/>
          <w:color w:val="000000"/>
          <w:sz w:val="33"/>
        </w:rPr>
        <w:t>3. 行业供需、投产节奏与价格走势</w:t>
      </w:r>
    </w:p>
    <w:p>
      <w:pPr>
        <w:numPr>
          <w:ilvl w:val="0"/>
          <w:numId w:val="4"/>
        </w:numPr>
        <w:spacing w:before="0" w:after="0"/>
        <w:jc w:val="left"/>
      </w:pPr>
      <w:r>
        <w:rPr>
          <w:rFonts w:ascii="Times New Roman" w:hAnsi="Times New Roman"/>
          <w:b/>
          <w:i w:val="false"/>
          <w:color w:val="000000"/>
          <w:sz w:val="22"/>
        </w:rPr>
        <w:t>供给端边际</w:t>
      </w:r>
    </w:p>
    <w:p>
      <w:pPr>
        <w:numPr>
          <w:ilvl w:val="0"/>
          <w:numId w:val="4"/>
        </w:numPr>
        <w:spacing w:before="0" w:after="0"/>
        <w:jc w:val="left"/>
      </w:pPr>
      <w:r>
        <w:rPr>
          <w:rFonts w:ascii="Times New Roman" w:hAnsi="Times New Roman"/>
          <w:b w:val="false"/>
          <w:i w:val="false"/>
          <w:color w:val="000000"/>
          <w:sz w:val="22"/>
        </w:rPr>
        <w:t>监管治理压减收费包与优化开机流程，平台部分收费权益从终端厂商收回，</w:t>
      </w:r>
      <w:r>
        <w:rPr>
          <w:rFonts w:ascii="Times New Roman" w:hAnsi="Times New Roman"/>
          <w:b/>
          <w:i w:val="false"/>
          <w:color w:val="000000"/>
          <w:sz w:val="22"/>
        </w:rPr>
        <w:t>牌照平台运营能力与内容供给成为关键</w:t>
      </w:r>
      <w:r>
        <w:rPr>
          <w:rFonts w:ascii="Times New Roman" w:hAnsi="Times New Roman"/>
          <w:b w:val="false"/>
          <w:i w:val="false"/>
          <w:color w:val="000000"/>
          <w:sz w:val="22"/>
        </w:rPr>
        <w:t>；OTT节点性活动（如奥运会、春节）推升大屏MAU，供给与内容排期呈节点波动。</w:t>
      </w:r>
    </w:p>
    <w:p>
      <w:pPr>
        <w:numPr>
          <w:ilvl w:val="0"/>
          <w:numId w:val="4"/>
        </w:numPr>
        <w:spacing w:before="0" w:after="0"/>
        <w:jc w:val="left"/>
      </w:pPr>
      <w:r>
        <w:rPr>
          <w:rFonts w:ascii="Times New Roman" w:hAnsi="Times New Roman"/>
          <w:b/>
          <w:i w:val="false"/>
          <w:color w:val="000000"/>
          <w:sz w:val="22"/>
        </w:rPr>
        <w:t>需求端边际</w:t>
      </w:r>
    </w:p>
    <w:p>
      <w:pPr>
        <w:numPr>
          <w:ilvl w:val="0"/>
          <w:numId w:val="4"/>
        </w:numPr>
        <w:spacing w:before="0" w:after="0"/>
        <w:jc w:val="left"/>
      </w:pPr>
      <w:r>
        <w:rPr>
          <w:rFonts w:ascii="Times New Roman" w:hAnsi="Times New Roman"/>
          <w:b w:val="false"/>
          <w:i w:val="false"/>
          <w:color w:val="000000"/>
          <w:sz w:val="22"/>
        </w:rPr>
        <w:t>4K超高清、超大屏智能电视持续普及，</w:t>
      </w:r>
      <w:r>
        <w:rPr>
          <w:rFonts w:ascii="Times New Roman" w:hAnsi="Times New Roman"/>
          <w:b/>
          <w:i w:val="false"/>
          <w:color w:val="000000"/>
          <w:sz w:val="22"/>
        </w:rPr>
        <w:t>家庭大屏信息娱乐中枢属性加强</w:t>
      </w:r>
      <w:r>
        <w:rPr>
          <w:rFonts w:ascii="Times New Roman" w:hAnsi="Times New Roman"/>
          <w:b w:val="false"/>
          <w:i w:val="false"/>
          <w:color w:val="000000"/>
          <w:sz w:val="22"/>
        </w:rPr>
        <w:t>；治理改善用户体验后，出现</w:t>
      </w:r>
      <w:r>
        <w:rPr>
          <w:rFonts w:ascii="Times New Roman" w:hAnsi="Times New Roman"/>
          <w:b/>
          <w:i w:val="false"/>
          <w:color w:val="000000"/>
          <w:sz w:val="22"/>
        </w:rPr>
        <w:t>用户回流与收视增长</w:t>
      </w:r>
      <w:r>
        <w:rPr>
          <w:rFonts w:ascii="Times New Roman" w:hAnsi="Times New Roman"/>
          <w:b w:val="false"/>
          <w:i w:val="false"/>
          <w:color w:val="000000"/>
          <w:sz w:val="22"/>
        </w:rPr>
        <w:t>迹象（2024H1有线电视用户较23年底回升约600万）。</w:t>
      </w:r>
    </w:p>
    <w:p>
      <w:pPr>
        <w:numPr>
          <w:ilvl w:val="0"/>
          <w:numId w:val="4"/>
        </w:numPr>
        <w:spacing w:before="0" w:after="0"/>
        <w:jc w:val="left"/>
      </w:pPr>
      <w:r>
        <w:rPr>
          <w:rFonts w:ascii="Times New Roman" w:hAnsi="Times New Roman"/>
          <w:b/>
          <w:i w:val="false"/>
          <w:color w:val="000000"/>
          <w:sz w:val="22"/>
        </w:rPr>
        <w:t>价格走势</w:t>
      </w:r>
    </w:p>
    <w:p>
      <w:pPr>
        <w:numPr>
          <w:ilvl w:val="0"/>
          <w:numId w:val="4"/>
        </w:numPr>
        <w:spacing w:before="0" w:after="0"/>
        <w:jc w:val="left"/>
      </w:pPr>
      <w:r>
        <w:rPr>
          <w:rFonts w:ascii="Times New Roman" w:hAnsi="Times New Roman"/>
          <w:b w:val="false"/>
          <w:i w:val="false"/>
          <w:color w:val="000000"/>
          <w:sz w:val="22"/>
        </w:rPr>
        <w:t>国内外视频平台对会员产品提价已发生，大屏端</w:t>
      </w:r>
      <w:r>
        <w:rPr>
          <w:rFonts w:ascii="Times New Roman" w:hAnsi="Times New Roman"/>
          <w:b/>
          <w:i w:val="false"/>
          <w:color w:val="000000"/>
          <w:sz w:val="22"/>
        </w:rPr>
        <w:t>或有进一步提价空间</w:t>
      </w:r>
      <w:r>
        <w:rPr>
          <w:rFonts w:ascii="Times New Roman" w:hAnsi="Times New Roman"/>
          <w:b w:val="false"/>
          <w:i w:val="false"/>
          <w:color w:val="000000"/>
          <w:sz w:val="22"/>
        </w:rPr>
        <w:t>；完成终端整改后，价权上移至牌照商，价格弹性增强。</w:t>
      </w:r>
    </w:p>
    <w:p>
      <w:pPr>
        <w:spacing w:before="180" w:after="180"/>
        <w:ind w:left="120"/>
        <w:jc w:val="left"/>
      </w:pPr>
      <w:r>
        <w:rPr>
          <w:rFonts w:ascii="Times New Roman" w:hAnsi="Times New Roman"/>
          <w:b/>
          <w:i w:val="false"/>
          <w:color w:val="000000"/>
          <w:sz w:val="33"/>
        </w:rPr>
        <w:t>4. 未来行业发展的核心逻辑</w:t>
      </w:r>
    </w:p>
    <w:p>
      <w:pPr>
        <w:numPr>
          <w:ilvl w:val="0"/>
          <w:numId w:val="5"/>
        </w:numPr>
        <w:spacing w:before="0" w:after="0"/>
        <w:jc w:val="left"/>
      </w:pPr>
      <w:r>
        <w:rPr>
          <w:rFonts w:ascii="Times New Roman" w:hAnsi="Times New Roman"/>
          <w:b/>
          <w:i w:val="false"/>
          <w:color w:val="000000"/>
          <w:sz w:val="22"/>
        </w:rPr>
        <w:t>规范监管+牌照价值重定价</w:t>
      </w:r>
      <w:r>
        <w:rPr>
          <w:rFonts w:ascii="Times New Roman" w:hAnsi="Times New Roman"/>
          <w:b w:val="false"/>
          <w:i w:val="false"/>
          <w:color w:val="000000"/>
          <w:sz w:val="22"/>
        </w:rPr>
        <w:t>：治理“套娃收费/操作复杂”达成阶段目标，推进行业标准与硬件改进，</w:t>
      </w:r>
      <w:r>
        <w:rPr>
          <w:rFonts w:ascii="Times New Roman" w:hAnsi="Times New Roman"/>
          <w:b/>
          <w:i w:val="false"/>
          <w:color w:val="000000"/>
          <w:sz w:val="22"/>
        </w:rPr>
        <w:t>牌照商价值凸显</w:t>
      </w:r>
      <w:r>
        <w:rPr>
          <w:rFonts w:ascii="Times New Roman" w:hAnsi="Times New Roman"/>
          <w:b w:val="false"/>
          <w:i w:val="false"/>
          <w:color w:val="000000"/>
          <w:sz w:val="22"/>
        </w:rPr>
        <w:t>、平台价权提升。</w:t>
      </w:r>
    </w:p>
    <w:p>
      <w:pPr>
        <w:numPr>
          <w:ilvl w:val="0"/>
          <w:numId w:val="5"/>
        </w:numPr>
        <w:spacing w:before="0" w:after="0"/>
        <w:jc w:val="left"/>
      </w:pPr>
      <w:r>
        <w:rPr>
          <w:rFonts w:ascii="Times New Roman" w:hAnsi="Times New Roman"/>
          <w:b/>
          <w:i w:val="false"/>
          <w:color w:val="000000"/>
          <w:sz w:val="22"/>
        </w:rPr>
        <w:t>媒体融合+广电5G推进</w:t>
      </w:r>
      <w:r>
        <w:rPr>
          <w:rFonts w:ascii="Times New Roman" w:hAnsi="Times New Roman"/>
          <w:b w:val="false"/>
          <w:i w:val="false"/>
          <w:color w:val="000000"/>
          <w:sz w:val="22"/>
        </w:rPr>
        <w:t>：700MHz全国覆盖、NR广播探索、智慧广电乡村工程、政务/民生数字化场景渗透，成为广电网络的结构性机会。</w:t>
      </w:r>
    </w:p>
    <w:p>
      <w:pPr>
        <w:numPr>
          <w:ilvl w:val="0"/>
          <w:numId w:val="5"/>
        </w:numPr>
        <w:spacing w:before="0" w:after="0"/>
        <w:jc w:val="left"/>
      </w:pPr>
      <w:r>
        <w:rPr>
          <w:rFonts w:ascii="Times New Roman" w:hAnsi="Times New Roman"/>
          <w:b/>
          <w:i w:val="false"/>
          <w:color w:val="000000"/>
          <w:sz w:val="22"/>
        </w:rPr>
        <w:t>大屏端内容与提价</w:t>
      </w:r>
      <w:r>
        <w:rPr>
          <w:rFonts w:ascii="Times New Roman" w:hAnsi="Times New Roman"/>
          <w:b w:val="false"/>
          <w:i w:val="false"/>
          <w:color w:val="000000"/>
          <w:sz w:val="22"/>
        </w:rPr>
        <w:t>：4K/超大屏普及与头部内容供给，</w:t>
      </w:r>
      <w:r>
        <w:rPr>
          <w:rFonts w:ascii="Times New Roman" w:hAnsi="Times New Roman"/>
          <w:b/>
          <w:i w:val="false"/>
          <w:color w:val="000000"/>
          <w:sz w:val="22"/>
        </w:rPr>
        <w:t>大屏端流量增长+价格上行</w:t>
      </w:r>
      <w:r>
        <w:rPr>
          <w:rFonts w:ascii="Times New Roman" w:hAnsi="Times New Roman"/>
          <w:b w:val="false"/>
          <w:i w:val="false"/>
          <w:color w:val="000000"/>
          <w:sz w:val="22"/>
        </w:rPr>
        <w:t>驱动盈利改善，头部平台受益更明显。</w:t>
      </w:r>
    </w:p>
    <w:p>
      <w:pPr>
        <w:numPr>
          <w:ilvl w:val="0"/>
          <w:numId w:val="5"/>
        </w:numPr>
        <w:spacing w:before="0" w:after="0"/>
        <w:jc w:val="left"/>
      </w:pPr>
      <w:r>
        <w:rPr>
          <w:rFonts w:ascii="Times New Roman" w:hAnsi="Times New Roman"/>
          <w:b/>
          <w:i w:val="false"/>
          <w:color w:val="000000"/>
          <w:sz w:val="22"/>
        </w:rPr>
        <w:t>有线电视板块承压与修复</w:t>
      </w:r>
      <w:r>
        <w:rPr>
          <w:rFonts w:ascii="Times New Roman" w:hAnsi="Times New Roman"/>
          <w:b w:val="false"/>
          <w:i w:val="false"/>
          <w:color w:val="000000"/>
          <w:sz w:val="22"/>
        </w:rPr>
        <w:t>：行业发展趋缓+政策整顿短期影响，</w:t>
      </w:r>
      <w:r>
        <w:rPr>
          <w:rFonts w:ascii="Times New Roman" w:hAnsi="Times New Roman"/>
          <w:b/>
          <w:i w:val="false"/>
          <w:color w:val="000000"/>
          <w:sz w:val="22"/>
        </w:rPr>
        <w:t>中长期随一网整合与广电5G落地有修复空间</w:t>
      </w:r>
      <w:r>
        <w:rPr>
          <w:rFonts w:ascii="Times New Roman" w:hAnsi="Times New Roman"/>
          <w:b w:val="false"/>
          <w:i w:val="false"/>
          <w:color w:val="000000"/>
          <w:sz w:val="22"/>
        </w:rPr>
        <w:t>。</w:t>
      </w:r>
    </w:p>
    <w:p>
      <w:pPr>
        <w:spacing w:before="180" w:after="180"/>
        <w:ind w:left="120"/>
        <w:jc w:val="left"/>
      </w:pPr>
      <w:r>
        <w:rPr>
          <w:rFonts w:ascii="Times New Roman" w:hAnsi="Times New Roman"/>
          <w:b/>
          <w:i w:val="false"/>
          <w:color w:val="000000"/>
          <w:sz w:val="33"/>
        </w:rPr>
        <w:t>5. 广西广电最新季报、业务线增长与管理层预期</w:t>
      </w:r>
    </w:p>
    <w:p>
      <w:pPr>
        <w:numPr>
          <w:ilvl w:val="0"/>
          <w:numId w:val="6"/>
        </w:numPr>
        <w:spacing w:before="0" w:after="0"/>
        <w:jc w:val="left"/>
      </w:pPr>
      <w:r>
        <w:rPr>
          <w:rFonts w:ascii="Times New Roman" w:hAnsi="Times New Roman"/>
          <w:b/>
          <w:i w:val="false"/>
          <w:color w:val="000000"/>
          <w:sz w:val="22"/>
        </w:rPr>
        <w:t>公司口径变化与季报概况</w:t>
      </w:r>
    </w:p>
    <w:p>
      <w:pPr>
        <w:numPr>
          <w:ilvl w:val="0"/>
          <w:numId w:val="6"/>
        </w:numPr>
        <w:spacing w:before="0" w:after="0"/>
        <w:jc w:val="left"/>
      </w:pPr>
      <w:r>
        <w:rPr>
          <w:rFonts w:ascii="Times New Roman" w:hAnsi="Times New Roman"/>
          <w:b w:val="false"/>
          <w:i w:val="false"/>
          <w:color w:val="000000"/>
          <w:sz w:val="22"/>
        </w:rPr>
        <w:t>2025年8月底完成资产置换：上市公司置出广电科技100%股权、置入交科集团51%股权，</w:t>
      </w:r>
      <w:r>
        <w:rPr>
          <w:rFonts w:ascii="Times New Roman" w:hAnsi="Times New Roman"/>
          <w:b/>
          <w:i w:val="false"/>
          <w:color w:val="000000"/>
          <w:sz w:val="22"/>
        </w:rPr>
        <w:t>主业转型至智慧交通相关</w:t>
      </w:r>
      <w:r>
        <w:rPr>
          <w:rFonts w:ascii="Times New Roman" w:hAnsi="Times New Roman"/>
          <w:b w:val="false"/>
          <w:i w:val="false"/>
          <w:color w:val="000000"/>
          <w:sz w:val="22"/>
        </w:rPr>
        <w:t>，后续财务并表将体现新业务结构。</w:t>
      </w:r>
    </w:p>
    <w:p>
      <w:pPr>
        <w:numPr>
          <w:ilvl w:val="0"/>
          <w:numId w:val="6"/>
        </w:numPr>
        <w:spacing w:before="0" w:after="0"/>
        <w:jc w:val="left"/>
      </w:pPr>
      <w:r>
        <w:rPr>
          <w:rFonts w:ascii="Times New Roman" w:hAnsi="Times New Roman"/>
          <w:b w:val="false"/>
          <w:i w:val="false"/>
          <w:color w:val="000000"/>
          <w:sz w:val="22"/>
        </w:rPr>
        <w:t>2025Q1（仍以旧业务为主）：营业收入</w:t>
      </w:r>
      <w:r>
        <w:rPr>
          <w:rFonts w:ascii="Times New Roman" w:hAnsi="Times New Roman"/>
          <w:b/>
          <w:i w:val="false"/>
          <w:color w:val="000000"/>
          <w:sz w:val="22"/>
        </w:rPr>
        <w:t>2.62亿元</w:t>
      </w:r>
      <w:r>
        <w:rPr>
          <w:rFonts w:ascii="Times New Roman" w:hAnsi="Times New Roman"/>
          <w:b w:val="false"/>
          <w:i w:val="false"/>
          <w:color w:val="000000"/>
          <w:sz w:val="22"/>
        </w:rPr>
        <w:t>，同比**-5.78%</w:t>
      </w:r>
      <w:r>
        <w:rPr>
          <w:rFonts w:ascii="Times New Roman" w:hAnsi="Times New Roman"/>
          <w:b/>
          <w:i w:val="false"/>
          <w:color w:val="000000"/>
          <w:sz w:val="22"/>
        </w:rPr>
        <w:t>；归母净利润</w:t>
      </w:r>
      <w:r>
        <w:rPr>
          <w:rFonts w:ascii="Times New Roman" w:hAnsi="Times New Roman"/>
          <w:b w:val="false"/>
          <w:i w:val="false"/>
          <w:color w:val="000000"/>
          <w:sz w:val="22"/>
        </w:rPr>
        <w:t>-1.98亿元**；经营现金流**-1.13亿元**；期末总资产</w:t>
      </w:r>
      <w:r>
        <w:rPr>
          <w:rFonts w:ascii="Times New Roman" w:hAnsi="Times New Roman"/>
          <w:b/>
          <w:i w:val="false"/>
          <w:color w:val="000000"/>
          <w:sz w:val="22"/>
        </w:rPr>
        <w:t>74.11亿元</w:t>
      </w:r>
      <w:r>
        <w:rPr>
          <w:rFonts w:ascii="Times New Roman" w:hAnsi="Times New Roman"/>
          <w:b w:val="false"/>
          <w:i w:val="false"/>
          <w:color w:val="000000"/>
          <w:sz w:val="22"/>
        </w:rPr>
        <w:t>、归属于上市公司股东的所有者权益</w:t>
      </w:r>
      <w:r>
        <w:rPr>
          <w:rFonts w:ascii="Times New Roman" w:hAnsi="Times New Roman"/>
          <w:b/>
          <w:i w:val="false"/>
          <w:color w:val="000000"/>
          <w:sz w:val="22"/>
        </w:rPr>
        <w:t>4.54亿元</w:t>
      </w:r>
      <w:r>
        <w:rPr>
          <w:rFonts w:ascii="Times New Roman" w:hAnsi="Times New Roman"/>
          <w:b w:val="false"/>
          <w:i w:val="false"/>
          <w:color w:val="000000"/>
          <w:sz w:val="22"/>
        </w:rPr>
        <w:t>（较上年末下降）。</w:t>
      </w:r>
    </w:p>
    <w:p>
      <w:pPr>
        <w:numPr>
          <w:ilvl w:val="0"/>
          <w:numId w:val="6"/>
        </w:numPr>
        <w:spacing w:before="0" w:after="0"/>
        <w:jc w:val="left"/>
      </w:pPr>
      <w:r>
        <w:rPr>
          <w:rFonts w:ascii="Times New Roman" w:hAnsi="Times New Roman"/>
          <w:b w:val="false"/>
          <w:i w:val="false"/>
          <w:color w:val="000000"/>
          <w:sz w:val="22"/>
        </w:rPr>
        <w:t>2024年度（旧业务）：营业收入</w:t>
      </w:r>
      <w:r>
        <w:rPr>
          <w:rFonts w:ascii="Times New Roman" w:hAnsi="Times New Roman"/>
          <w:b/>
          <w:i w:val="false"/>
          <w:color w:val="000000"/>
          <w:sz w:val="22"/>
        </w:rPr>
        <w:t>13.59亿元</w:t>
      </w:r>
      <w:r>
        <w:rPr>
          <w:rFonts w:ascii="Times New Roman" w:hAnsi="Times New Roman"/>
          <w:b w:val="false"/>
          <w:i w:val="false"/>
          <w:color w:val="000000"/>
          <w:sz w:val="22"/>
        </w:rPr>
        <w:t>；归属于上市公司股东净利润**-8.83亿元**（亏损）。</w:t>
      </w:r>
    </w:p>
    <w:p>
      <w:pPr>
        <w:numPr>
          <w:ilvl w:val="0"/>
          <w:numId w:val="6"/>
        </w:numPr>
        <w:spacing w:before="0" w:after="0"/>
        <w:jc w:val="left"/>
      </w:pPr>
      <w:r>
        <w:rPr>
          <w:rFonts w:ascii="Times New Roman" w:hAnsi="Times New Roman"/>
          <w:b/>
          <w:i w:val="false"/>
          <w:color w:val="000000"/>
          <w:sz w:val="22"/>
        </w:rPr>
        <w:t>备考并表改善（管理层披露）</w:t>
      </w:r>
    </w:p>
    <w:p>
      <w:pPr>
        <w:numPr>
          <w:ilvl w:val="0"/>
          <w:numId w:val="6"/>
        </w:numPr>
        <w:spacing w:before="0" w:after="0"/>
        <w:jc w:val="left"/>
      </w:pPr>
      <w:r>
        <w:rPr>
          <w:rFonts w:ascii="Times New Roman" w:hAnsi="Times New Roman"/>
          <w:b w:val="false"/>
          <w:i w:val="false"/>
          <w:color w:val="000000"/>
          <w:sz w:val="22"/>
        </w:rPr>
        <w:t>备考审阅显示：交易完成后，2024年度营业收入</w:t>
      </w:r>
      <w:r>
        <w:rPr>
          <w:rFonts w:ascii="Times New Roman" w:hAnsi="Times New Roman"/>
          <w:b/>
          <w:i w:val="false"/>
          <w:color w:val="000000"/>
          <w:sz w:val="22"/>
        </w:rPr>
        <w:t>31.90亿元</w:t>
      </w:r>
      <w:r>
        <w:rPr>
          <w:rFonts w:ascii="Times New Roman" w:hAnsi="Times New Roman"/>
          <w:b w:val="false"/>
          <w:i w:val="false"/>
          <w:color w:val="000000"/>
          <w:sz w:val="22"/>
        </w:rPr>
        <w:t>、归母净利润</w:t>
      </w:r>
      <w:r>
        <w:rPr>
          <w:rFonts w:ascii="Times New Roman" w:hAnsi="Times New Roman"/>
          <w:b/>
          <w:i w:val="false"/>
          <w:color w:val="000000"/>
          <w:sz w:val="22"/>
        </w:rPr>
        <w:t>近2亿元</w:t>
      </w:r>
      <w:r>
        <w:rPr>
          <w:rFonts w:ascii="Times New Roman" w:hAnsi="Times New Roman"/>
          <w:b w:val="false"/>
          <w:i w:val="false"/>
          <w:color w:val="000000"/>
          <w:sz w:val="22"/>
        </w:rPr>
        <w:t>，EPS由**-0.53元</w:t>
      </w:r>
      <w:r>
        <w:rPr>
          <w:rFonts w:ascii="Times New Roman" w:hAnsi="Times New Roman"/>
          <w:b/>
          <w:i w:val="false"/>
          <w:color w:val="000000"/>
          <w:sz w:val="22"/>
        </w:rPr>
        <w:t>升至</w:t>
      </w:r>
      <w:r>
        <w:rPr>
          <w:rFonts w:ascii="Times New Roman" w:hAnsi="Times New Roman"/>
          <w:b w:val="false"/>
          <w:i w:val="false"/>
          <w:color w:val="000000"/>
          <w:sz w:val="22"/>
        </w:rPr>
        <w:t>0.12元**，资产负债率由</w:t>
      </w:r>
      <w:r>
        <w:rPr>
          <w:rFonts w:ascii="Times New Roman" w:hAnsi="Times New Roman"/>
          <w:b/>
          <w:i w:val="false"/>
          <w:color w:val="000000"/>
          <w:sz w:val="22"/>
        </w:rPr>
        <w:t>91.04%</w:t>
      </w:r>
      <w:r>
        <w:rPr>
          <w:rFonts w:ascii="Times New Roman" w:hAnsi="Times New Roman"/>
          <w:b/>
          <w:i w:val="false"/>
          <w:color w:val="000000"/>
          <w:sz w:val="22"/>
        </w:rPr>
        <w:t>降至</w:t>
      </w:r>
      <w:r>
        <w:rPr>
          <w:rFonts w:ascii="Times New Roman" w:hAnsi="Times New Roman"/>
          <w:b/>
          <w:i w:val="false"/>
          <w:color w:val="000000"/>
          <w:sz w:val="22"/>
        </w:rPr>
        <w:t>75.76%</w:t>
      </w:r>
      <w:r>
        <w:rPr>
          <w:rFonts w:ascii="Times New Roman" w:hAnsi="Times New Roman"/>
          <w:b w:val="false"/>
          <w:i w:val="false"/>
          <w:color w:val="000000"/>
          <w:sz w:val="22"/>
        </w:rPr>
        <w:t>，利息保障倍数显著提升。</w:t>
      </w:r>
    </w:p>
    <w:p>
      <w:pPr>
        <w:numPr>
          <w:ilvl w:val="0"/>
          <w:numId w:val="6"/>
        </w:numPr>
        <w:spacing w:before="0" w:after="0"/>
        <w:jc w:val="left"/>
      </w:pPr>
      <w:r>
        <w:rPr>
          <w:rFonts w:ascii="Times New Roman" w:hAnsi="Times New Roman"/>
          <w:b w:val="false"/>
          <w:i w:val="false"/>
          <w:color w:val="000000"/>
          <w:sz w:val="22"/>
        </w:rPr>
        <w:t>注：备考数据反映交易完成后的静态测算，并非实际并表结果。2025Q3季度指标显示归母净利润**-3.44亿元**（季），表明实际扭亏尚未兑现或处在整合过渡期，需观察全年与2026年并表后的经营与利润表现。</w:t>
      </w:r>
    </w:p>
    <w:p>
      <w:pPr>
        <w:numPr>
          <w:ilvl w:val="0"/>
          <w:numId w:val="6"/>
        </w:numPr>
        <w:spacing w:before="0" w:after="0"/>
        <w:jc w:val="left"/>
      </w:pPr>
      <w:r>
        <w:rPr>
          <w:rFonts w:ascii="Times New Roman" w:hAnsi="Times New Roman"/>
          <w:b/>
          <w:i w:val="false"/>
          <w:color w:val="000000"/>
          <w:sz w:val="22"/>
        </w:rPr>
        <w:t>旧业务线（广电网络）运营与原因</w:t>
      </w:r>
    </w:p>
    <w:p>
      <w:pPr>
        <w:numPr>
          <w:ilvl w:val="0"/>
          <w:numId w:val="6"/>
        </w:numPr>
        <w:spacing w:before="0" w:after="0"/>
        <w:jc w:val="left"/>
      </w:pPr>
      <w:r>
        <w:rPr>
          <w:rFonts w:ascii="Times New Roman" w:hAnsi="Times New Roman"/>
          <w:b w:val="false"/>
          <w:i w:val="false"/>
          <w:color w:val="000000"/>
          <w:sz w:val="22"/>
        </w:rPr>
        <w:t>公共与政企业务承压：用户习惯向移动互联网与流媒体迁移，广电有线基础用户下滑；政企项目受地方财政紧缩影响，</w:t>
      </w:r>
      <w:r>
        <w:rPr>
          <w:rFonts w:ascii="Times New Roman" w:hAnsi="Times New Roman"/>
          <w:b/>
          <w:i w:val="false"/>
          <w:color w:val="000000"/>
          <w:sz w:val="22"/>
        </w:rPr>
        <w:t>应收回款不及预期</w:t>
      </w:r>
      <w:r>
        <w:rPr>
          <w:rFonts w:ascii="Times New Roman" w:hAnsi="Times New Roman"/>
          <w:b w:val="false"/>
          <w:i w:val="false"/>
          <w:color w:val="000000"/>
          <w:sz w:val="22"/>
        </w:rPr>
        <w:t>与信用减值损失增加。</w:t>
      </w:r>
    </w:p>
    <w:p>
      <w:pPr>
        <w:numPr>
          <w:ilvl w:val="0"/>
          <w:numId w:val="6"/>
        </w:numPr>
        <w:spacing w:before="0" w:after="0"/>
        <w:jc w:val="left"/>
      </w:pPr>
      <w:r>
        <w:rPr>
          <w:rFonts w:ascii="Times New Roman" w:hAnsi="Times New Roman"/>
          <w:b w:val="false"/>
          <w:i w:val="false"/>
          <w:color w:val="000000"/>
          <w:sz w:val="22"/>
        </w:rPr>
        <w:t>5G与宽带：广电5G用户规模增长与固定宽带大带宽需求提升属行业大势，但短期竞争加剧、费用与投入压力仍大。</w:t>
      </w:r>
    </w:p>
    <w:p>
      <w:pPr>
        <w:numPr>
          <w:ilvl w:val="0"/>
          <w:numId w:val="6"/>
        </w:numPr>
        <w:spacing w:before="0" w:after="0"/>
        <w:jc w:val="left"/>
      </w:pPr>
      <w:r>
        <w:rPr>
          <w:rFonts w:ascii="Times New Roman" w:hAnsi="Times New Roman"/>
          <w:b/>
          <w:i w:val="false"/>
          <w:color w:val="000000"/>
          <w:sz w:val="22"/>
        </w:rPr>
        <w:t>转型后管理层预期与经营重点（交科集团）</w:t>
      </w:r>
    </w:p>
    <w:p>
      <w:pPr>
        <w:numPr>
          <w:ilvl w:val="0"/>
          <w:numId w:val="6"/>
        </w:numPr>
        <w:spacing w:before="0" w:after="0"/>
        <w:jc w:val="left"/>
      </w:pPr>
      <w:r>
        <w:rPr>
          <w:rFonts w:ascii="Times New Roman" w:hAnsi="Times New Roman"/>
          <w:b w:val="false"/>
          <w:i w:val="false"/>
          <w:color w:val="000000"/>
          <w:sz w:val="22"/>
        </w:rPr>
        <w:t>战略：</w:t>
      </w:r>
      <w:r>
        <w:rPr>
          <w:rFonts w:ascii="Times New Roman" w:hAnsi="Times New Roman"/>
          <w:b/>
          <w:i w:val="false"/>
          <w:color w:val="000000"/>
          <w:sz w:val="22"/>
        </w:rPr>
        <w:t>完善全产业链一体化布局与外延式扩张</w:t>
      </w:r>
      <w:r>
        <w:rPr>
          <w:rFonts w:ascii="Times New Roman" w:hAnsi="Times New Roman"/>
          <w:b w:val="false"/>
          <w:i w:val="false"/>
          <w:color w:val="000000"/>
          <w:sz w:val="22"/>
        </w:rPr>
        <w:t>，巩固广西区内数智工程，依托上市平台跨区域拓展，实现“智慧交通+信息系统集成”的协同与规模化复制。</w:t>
      </w:r>
    </w:p>
    <w:p>
      <w:pPr>
        <w:numPr>
          <w:ilvl w:val="0"/>
          <w:numId w:val="6"/>
        </w:numPr>
        <w:spacing w:before="0" w:after="0"/>
        <w:jc w:val="left"/>
      </w:pPr>
      <w:r>
        <w:rPr>
          <w:rFonts w:ascii="Times New Roman" w:hAnsi="Times New Roman"/>
          <w:b w:val="false"/>
          <w:i w:val="false"/>
          <w:color w:val="000000"/>
          <w:sz w:val="22"/>
        </w:rPr>
        <w:t>资源与人才：交科集团拥有</w:t>
      </w:r>
      <w:r>
        <w:rPr>
          <w:rFonts w:ascii="Times New Roman" w:hAnsi="Times New Roman"/>
          <w:b/>
          <w:i w:val="false"/>
          <w:color w:val="000000"/>
          <w:sz w:val="22"/>
        </w:rPr>
        <w:t>1100余人</w:t>
      </w:r>
      <w:r>
        <w:rPr>
          <w:rFonts w:ascii="Times New Roman" w:hAnsi="Times New Roman"/>
          <w:b w:val="false"/>
          <w:i w:val="false"/>
          <w:color w:val="000000"/>
          <w:sz w:val="22"/>
        </w:rPr>
        <w:t>团队、500余信息化人员、覆盖道路/桥梁/水运/地质/安全等专业，区域政策/客户资源深厚。</w:t>
      </w:r>
    </w:p>
    <w:p>
      <w:pPr>
        <w:numPr>
          <w:ilvl w:val="0"/>
          <w:numId w:val="6"/>
        </w:numPr>
        <w:spacing w:before="0" w:after="0"/>
        <w:jc w:val="left"/>
      </w:pPr>
      <w:r>
        <w:rPr>
          <w:rFonts w:ascii="Times New Roman" w:hAnsi="Times New Roman"/>
          <w:b w:val="false"/>
          <w:i w:val="false"/>
          <w:color w:val="000000"/>
          <w:sz w:val="22"/>
        </w:rPr>
        <w:t>经营目标：重点推进订单落地与项目交付，提升现金流与利息保障能力，降杠杆与优化财务结构（不涉及支付现金或发行股份对价）。</w:t>
      </w:r>
    </w:p>
    <w:p>
      <w:pPr>
        <w:numPr>
          <w:ilvl w:val="0"/>
          <w:numId w:val="6"/>
        </w:numPr>
        <w:spacing w:before="0" w:after="0"/>
        <w:jc w:val="left"/>
      </w:pPr>
      <w:r>
        <w:rPr>
          <w:rFonts w:ascii="Times New Roman" w:hAnsi="Times New Roman"/>
          <w:b w:val="false"/>
          <w:i w:val="false"/>
          <w:color w:val="000000"/>
          <w:sz w:val="22"/>
        </w:rPr>
        <w:t>注：参考信息未披露分业务线的量化增速、订单储备金额、单位产品盈利与分业务利润，多以战略与结构性改善为主，需等待并表后的定期报告披露。</w:t>
      </w:r>
    </w:p>
    <w:p>
      <w:pPr>
        <w:spacing w:before="180" w:after="180"/>
        <w:ind w:left="120"/>
        <w:jc w:val="left"/>
      </w:pPr>
      <w:r>
        <w:rPr>
          <w:rFonts w:ascii="Times New Roman" w:hAnsi="Times New Roman"/>
          <w:b/>
          <w:i w:val="false"/>
          <w:color w:val="000000"/>
          <w:sz w:val="33"/>
        </w:rPr>
        <w:t>6. 同类竞争对手公司比较与竞争位置</w:t>
      </w:r>
    </w:p>
    <w:p>
      <w:pPr>
        <w:numPr>
          <w:ilvl w:val="0"/>
          <w:numId w:val="7"/>
        </w:numPr>
        <w:spacing w:before="0" w:after="0"/>
        <w:jc w:val="left"/>
      </w:pPr>
      <w:r>
        <w:rPr>
          <w:rFonts w:ascii="Times New Roman" w:hAnsi="Times New Roman"/>
          <w:b/>
          <w:i w:val="false"/>
          <w:color w:val="000000"/>
          <w:sz w:val="22"/>
        </w:rPr>
        <w:t>广电板块核心对比（2024年与25Q1选取值）</w:t>
      </w:r>
    </w:p>
    <w:tbl>
      <w:tblPr>
        <w:tblW w:w="0" w:type="auto"/>
        <w:tblCellSpacing w:w="0" w:type="auto"/>
        <w:tblInd w:w="115" w:type="dxa"/>
        <w:tblBorders>
          <w:top w:val="single" w:color="aaaaaa" w:sz="8"/>
          <w:left w:val="single" w:color="aaaaaa" w:sz="8"/>
          <w:bottom w:val="single" w:color="aaaaaa" w:sz="8"/>
          <w:right w:val="single" w:color="aaaaaa" w:sz="8"/>
          <w:insideH w:val="none"/>
          <w:insideV w:val="none"/>
        </w:tblBorders>
      </w:tblPr>
      <w:tblGrid>
        <w:gridCol w:w="2348"/>
        <w:gridCol w:w="3307"/>
        <w:gridCol w:w="3882"/>
        <w:gridCol w:w="4097"/>
      </w:tblGrid>
      <w:tr>
        <w:trPr>
          <w:trHeight w:val="525" w:hRule="atLeast"/>
        </w:trPr>
        <w:tc>
          <w:tcPr>
            <w:tcW w:w="234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公司</w:t>
            </w:r>
          </w:p>
        </w:tc>
        <w:tc>
          <w:tcPr>
            <w:tcW w:w="330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2024收入</w:t>
            </w:r>
          </w:p>
        </w:tc>
        <w:tc>
          <w:tcPr>
            <w:tcW w:w="388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2024归母净利</w:t>
            </w:r>
          </w:p>
        </w:tc>
        <w:tc>
          <w:tcPr>
            <w:tcW w:w="409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25Q1归母净利</w:t>
            </w:r>
          </w:p>
        </w:tc>
      </w:tr>
      <w:tr>
        <w:trPr>
          <w:trHeight w:val="510" w:hRule="atLeast"/>
        </w:trPr>
        <w:tc>
          <w:tcPr>
            <w:tcW w:w="234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华数传媒</w:t>
            </w:r>
          </w:p>
        </w:tc>
        <w:tc>
          <w:tcPr>
            <w:tcW w:w="330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93.95亿元</w:t>
            </w:r>
          </w:p>
        </w:tc>
        <w:tc>
          <w:tcPr>
            <w:tcW w:w="388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5.34亿元</w:t>
            </w:r>
          </w:p>
        </w:tc>
        <w:tc>
          <w:tcPr>
            <w:tcW w:w="409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1.31亿元</w:t>
            </w:r>
          </w:p>
        </w:tc>
      </w:tr>
      <w:tr>
        <w:trPr>
          <w:trHeight w:val="510" w:hRule="atLeast"/>
        </w:trPr>
        <w:tc>
          <w:tcPr>
            <w:tcW w:w="234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江苏有线</w:t>
            </w:r>
          </w:p>
        </w:tc>
        <w:tc>
          <w:tcPr>
            <w:tcW w:w="330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79.80亿元</w:t>
            </w:r>
          </w:p>
        </w:tc>
        <w:tc>
          <w:tcPr>
            <w:tcW w:w="388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3.65亿元</w:t>
            </w:r>
          </w:p>
        </w:tc>
        <w:tc>
          <w:tcPr>
            <w:tcW w:w="409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1.04亿元</w:t>
            </w:r>
          </w:p>
        </w:tc>
      </w:tr>
      <w:tr>
        <w:trPr>
          <w:trHeight w:val="510" w:hRule="atLeast"/>
        </w:trPr>
        <w:tc>
          <w:tcPr>
            <w:tcW w:w="234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东方明珠</w:t>
            </w:r>
          </w:p>
        </w:tc>
        <w:tc>
          <w:tcPr>
            <w:tcW w:w="330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76.98亿元</w:t>
            </w:r>
          </w:p>
        </w:tc>
        <w:tc>
          <w:tcPr>
            <w:tcW w:w="388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6.69亿元</w:t>
            </w:r>
          </w:p>
        </w:tc>
        <w:tc>
          <w:tcPr>
            <w:tcW w:w="409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1.21亿元</w:t>
            </w:r>
          </w:p>
        </w:tc>
      </w:tr>
      <w:tr>
        <w:trPr>
          <w:trHeight w:val="510" w:hRule="atLeast"/>
        </w:trPr>
        <w:tc>
          <w:tcPr>
            <w:tcW w:w="234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广西广电</w:t>
            </w:r>
          </w:p>
        </w:tc>
        <w:tc>
          <w:tcPr>
            <w:tcW w:w="330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13.59亿元</w:t>
            </w:r>
          </w:p>
        </w:tc>
        <w:tc>
          <w:tcPr>
            <w:tcW w:w="388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-8.83亿元</w:t>
            </w:r>
          </w:p>
        </w:tc>
        <w:tc>
          <w:tcPr>
            <w:tcW w:w="409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-1.98亿元</w:t>
            </w:r>
          </w:p>
        </w:tc>
      </w:tr>
    </w:tbl>
    <w:p>
      <w:pPr>
        <w:numPr>
          <w:ilvl w:val="0"/>
          <w:numId w:val="8"/>
        </w:numPr>
        <w:spacing w:before="0" w:after="0"/>
        <w:jc w:val="left"/>
      </w:pPr>
      <w:r>
        <w:rPr>
          <w:rFonts w:ascii="Times New Roman" w:hAnsi="Times New Roman"/>
          <w:b/>
          <w:i w:val="false"/>
          <w:color w:val="000000"/>
          <w:sz w:val="22"/>
        </w:rPr>
        <w:t>结论</w:t>
      </w:r>
      <w:r>
        <w:rPr>
          <w:rFonts w:ascii="Times New Roman" w:hAnsi="Times New Roman"/>
          <w:b w:val="false"/>
          <w:i w:val="false"/>
          <w:color w:val="000000"/>
          <w:sz w:val="22"/>
        </w:rPr>
        <w:t>：在旧业务（广电网络）周期内，广西广电处于板块重亏阵列，显著弱于东方明珠、江苏有线与华数传媒等盈利公司。转型至智慧交通后，公司有望脱离板块整体承压的基本面，但需以并表后的定期财报与项目执行来验证盈利能力与现金流改善的持续性。</w:t>
      </w:r>
    </w:p>
    <w:p>
      <w:pPr>
        <w:spacing w:before="180" w:after="180"/>
        <w:ind w:left="120"/>
        <w:jc w:val="left"/>
      </w:pPr>
      <w:r>
        <w:rPr>
          <w:rFonts w:ascii="Times New Roman" w:hAnsi="Times New Roman"/>
          <w:b/>
          <w:i w:val="false"/>
          <w:color w:val="000000"/>
          <w:sz w:val="33"/>
        </w:rPr>
        <w:t>7. 2025与2026市场一致预期与估值</w:t>
      </w:r>
    </w:p>
    <w:p>
      <w:pPr>
        <w:numPr>
          <w:ilvl w:val="0"/>
          <w:numId w:val="9"/>
        </w:numPr>
        <w:spacing w:before="0" w:after="0"/>
        <w:jc w:val="left"/>
      </w:pPr>
      <w:r>
        <w:rPr>
          <w:rFonts w:ascii="Times New Roman" w:hAnsi="Times New Roman"/>
          <w:b/>
          <w:i w:val="false"/>
          <w:color w:val="000000"/>
          <w:sz w:val="22"/>
        </w:rPr>
        <w:t>一致预期</w:t>
      </w:r>
    </w:p>
    <w:p>
      <w:pPr>
        <w:numPr>
          <w:ilvl w:val="0"/>
          <w:numId w:val="9"/>
        </w:numPr>
        <w:spacing w:before="0" w:after="0"/>
        <w:jc w:val="left"/>
      </w:pPr>
      <w:r>
        <w:rPr>
          <w:rFonts w:ascii="Times New Roman" w:hAnsi="Times New Roman"/>
          <w:b w:val="false"/>
          <w:i w:val="false"/>
          <w:color w:val="000000"/>
          <w:sz w:val="22"/>
        </w:rPr>
        <w:t>参考资料未披露卖方或一致预期口径的2025/2026年盈利预测（净利润/EPS），暂无法引用明确的市场一致预期数据。</w:t>
      </w:r>
    </w:p>
    <w:p>
      <w:pPr>
        <w:numPr>
          <w:ilvl w:val="0"/>
          <w:numId w:val="9"/>
        </w:numPr>
        <w:spacing w:before="0" w:after="0"/>
        <w:jc w:val="left"/>
      </w:pPr>
      <w:r>
        <w:rPr>
          <w:rFonts w:ascii="Times New Roman" w:hAnsi="Times New Roman"/>
          <w:b w:val="false"/>
          <w:i w:val="false"/>
          <w:color w:val="000000"/>
          <w:sz w:val="22"/>
        </w:rPr>
        <w:t>备考测算参考：资产置换完成后，2024年备考营业收入</w:t>
      </w:r>
      <w:r>
        <w:rPr>
          <w:rFonts w:ascii="Times New Roman" w:hAnsi="Times New Roman"/>
          <w:b/>
          <w:i w:val="false"/>
          <w:color w:val="000000"/>
          <w:sz w:val="22"/>
        </w:rPr>
        <w:t>31.90亿元</w:t>
      </w:r>
      <w:r>
        <w:rPr>
          <w:rFonts w:ascii="Times New Roman" w:hAnsi="Times New Roman"/>
          <w:b w:val="false"/>
          <w:i w:val="false"/>
          <w:color w:val="000000"/>
          <w:sz w:val="22"/>
        </w:rPr>
        <w:t>、归母净利润</w:t>
      </w:r>
      <w:r>
        <w:rPr>
          <w:rFonts w:ascii="Times New Roman" w:hAnsi="Times New Roman"/>
          <w:b/>
          <w:i w:val="false"/>
          <w:color w:val="000000"/>
          <w:sz w:val="22"/>
        </w:rPr>
        <w:t>近2亿元</w:t>
      </w:r>
      <w:r>
        <w:rPr>
          <w:rFonts w:ascii="Times New Roman" w:hAnsi="Times New Roman"/>
          <w:b w:val="false"/>
          <w:i w:val="false"/>
          <w:color w:val="000000"/>
          <w:sz w:val="22"/>
        </w:rPr>
        <w:t>、EPS</w:t>
      </w:r>
      <w:r>
        <w:rPr>
          <w:rFonts w:ascii="Times New Roman" w:hAnsi="Times New Roman"/>
          <w:b/>
          <w:i w:val="false"/>
          <w:color w:val="000000"/>
          <w:sz w:val="22"/>
        </w:rPr>
        <w:t>0.12元</w:t>
      </w:r>
      <w:r>
        <w:rPr>
          <w:rFonts w:ascii="Times New Roman" w:hAnsi="Times New Roman"/>
          <w:b w:val="false"/>
          <w:i w:val="false"/>
          <w:color w:val="000000"/>
          <w:sz w:val="22"/>
        </w:rPr>
        <w:t>，为转型后盈利基线的管理层口径参考，但不等同于2025/2026一致预期。</w:t>
      </w:r>
    </w:p>
    <w:p>
      <w:pPr>
        <w:numPr>
          <w:ilvl w:val="0"/>
          <w:numId w:val="9"/>
        </w:numPr>
        <w:spacing w:before="0" w:after="0"/>
        <w:jc w:val="left"/>
      </w:pPr>
      <w:r>
        <w:rPr>
          <w:rFonts w:ascii="Times New Roman" w:hAnsi="Times New Roman"/>
          <w:b/>
          <w:i w:val="false"/>
          <w:color w:val="000000"/>
          <w:sz w:val="22"/>
        </w:rPr>
        <w:t>估值与市值/股价</w:t>
      </w:r>
    </w:p>
    <w:p>
      <w:pPr>
        <w:numPr>
          <w:ilvl w:val="0"/>
          <w:numId w:val="9"/>
        </w:numPr>
        <w:spacing w:before="0" w:after="0"/>
        <w:jc w:val="left"/>
      </w:pPr>
      <w:r>
        <w:rPr>
          <w:rFonts w:ascii="Times New Roman" w:hAnsi="Times New Roman"/>
          <w:b w:val="false"/>
          <w:i w:val="false"/>
          <w:color w:val="000000"/>
          <w:sz w:val="22"/>
        </w:rPr>
        <w:t>二级市场2025-12-15市值约</w:t>
      </w:r>
      <w:r>
        <w:rPr>
          <w:rFonts w:ascii="Times New Roman" w:hAnsi="Times New Roman"/>
          <w:b/>
          <w:i w:val="false"/>
          <w:color w:val="000000"/>
          <w:sz w:val="22"/>
        </w:rPr>
        <w:t>75.53亿元</w:t>
      </w:r>
      <w:r>
        <w:rPr>
          <w:rFonts w:ascii="Times New Roman" w:hAnsi="Times New Roman"/>
          <w:b w:val="false"/>
          <w:i w:val="false"/>
          <w:color w:val="000000"/>
          <w:sz w:val="22"/>
        </w:rPr>
        <w:t>，收盘价</w:t>
      </w:r>
      <w:r>
        <w:rPr>
          <w:rFonts w:ascii="Times New Roman" w:hAnsi="Times New Roman"/>
          <w:b/>
          <w:i w:val="false"/>
          <w:color w:val="000000"/>
          <w:sz w:val="22"/>
        </w:rPr>
        <w:t>4.52元</w:t>
      </w:r>
      <w:r>
        <w:rPr>
          <w:rFonts w:ascii="Times New Roman" w:hAnsi="Times New Roman"/>
          <w:b w:val="false"/>
          <w:i w:val="false"/>
          <w:color w:val="000000"/>
          <w:sz w:val="22"/>
        </w:rPr>
        <w:t>；12月10日至12月15日区间市值与股价显著上行（如12月10日市值</w:t>
      </w:r>
      <w:r>
        <w:rPr>
          <w:rFonts w:ascii="Times New Roman" w:hAnsi="Times New Roman"/>
          <w:b/>
          <w:i w:val="false"/>
          <w:color w:val="000000"/>
          <w:sz w:val="22"/>
        </w:rPr>
        <w:t>56.81亿元</w:t>
      </w:r>
      <w:r>
        <w:rPr>
          <w:rFonts w:ascii="Times New Roman" w:hAnsi="Times New Roman"/>
          <w:b w:val="false"/>
          <w:i w:val="false"/>
          <w:color w:val="000000"/>
          <w:sz w:val="22"/>
        </w:rPr>
        <w:t>，收盘价</w:t>
      </w:r>
      <w:r>
        <w:rPr>
          <w:rFonts w:ascii="Times New Roman" w:hAnsi="Times New Roman"/>
          <w:b/>
          <w:i w:val="false"/>
          <w:color w:val="000000"/>
          <w:sz w:val="22"/>
        </w:rPr>
        <w:t>3.40元</w:t>
      </w:r>
      <w:r>
        <w:rPr>
          <w:rFonts w:ascii="Times New Roman" w:hAnsi="Times New Roman"/>
          <w:b w:val="false"/>
          <w:i w:val="false"/>
          <w:color w:val="000000"/>
          <w:sz w:val="22"/>
        </w:rPr>
        <w:t>），与资产置换完成和转型预期相关的交易性改善相关。</w:t>
      </w:r>
      <w:r>
        <w:drawing>
          <wp:inline distT="0" distB="0" distL="0" distR="0">
            <wp:extent cx="5732145" cy="3836839"/>
            <wp:effectExtent l="0" t="0" r="0" b="0"/>
            <wp:docPr id="4" name="" descr="资料来源：广电总局、华泰研究"/>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5732145" cy="3836839"/>
                    </a:xfrm>
                    <a:prstGeom prst="rect">
                      <a:avLst/>
                    </a:prstGeom>
                  </pic:spPr>
                </pic:pic>
              </a:graphicData>
            </a:graphic>
          </wp:inline>
        </w:drawing>
      </w:r>
    </w:p>
    <w:p>
      <w:pPr>
        <w:numPr>
          <w:ilvl w:val="0"/>
          <w:numId w:val="9"/>
        </w:numPr>
        <w:spacing w:before="0" w:after="0"/>
        <w:jc w:val="left"/>
      </w:pPr>
      <w:r>
        <w:rPr>
          <w:rFonts w:ascii="Times New Roman" w:hAnsi="Times New Roman"/>
          <w:b w:val="false"/>
          <w:i w:val="false"/>
          <w:color w:val="000000"/>
          <w:sz w:val="22"/>
        </w:rPr>
        <w:t>由于2025/2026盈利预测缺失且2025Q3季度指标仍为亏损（-3.44亿元），传统P/E无法有效衡量；可暂以市值/营收（备考）与市值/订单执行（待披露）进行相对比较，待并表后盈利与现金流明确后再切换至盈利法估值。</w:t>
      </w:r>
    </w:p>
    <w:p>
      <w:pPr>
        <w:spacing w:before="180" w:after="180"/>
        <w:ind w:left="120"/>
        <w:jc w:val="left"/>
      </w:pPr>
      <w:r>
        <w:rPr>
          <w:rFonts w:ascii="Times New Roman" w:hAnsi="Times New Roman"/>
          <w:b/>
          <w:i w:val="false"/>
          <w:color w:val="000000"/>
          <w:sz w:val="33"/>
        </w:rPr>
        <w:t>关键数据摘要（智能表格）</w:t>
      </w:r>
    </w:p>
    <w:p>
      <w:pPr>
        <w:numPr>
          <w:ilvl w:val="0"/>
          <w:numId w:val="10"/>
        </w:numPr>
        <w:spacing w:before="0" w:after="0"/>
        <w:jc w:val="left"/>
      </w:pPr>
      <w:r>
        <w:rPr>
          <w:rFonts w:ascii="Times New Roman" w:hAnsi="Times New Roman"/>
          <w:b w:val="false"/>
          <w:i w:val="false"/>
          <w:color w:val="000000"/>
          <w:sz w:val="22"/>
        </w:rPr>
        <w:t>全国广电与网络视听实际创收构成（亿元）</w:t>
      </w:r>
    </w:p>
    <w:tbl>
      <w:tblPr>
        <w:tblW w:w="0" w:type="auto"/>
        <w:tblCellSpacing w:w="0" w:type="auto"/>
        <w:tblInd w:w="115" w:type="dxa"/>
        <w:tblBorders>
          <w:top w:val="single" w:color="aaaaaa" w:sz="8"/>
          <w:left w:val="single" w:color="aaaaaa" w:sz="8"/>
          <w:bottom w:val="single" w:color="aaaaaa" w:sz="8"/>
          <w:right w:val="single" w:color="aaaaaa" w:sz="8"/>
          <w:insideH w:val="none"/>
          <w:insideV w:val="none"/>
        </w:tblBorders>
      </w:tblPr>
      <w:tblGrid>
        <w:gridCol w:w="3539"/>
        <w:gridCol w:w="3365"/>
        <w:gridCol w:w="3365"/>
        <w:gridCol w:w="3365"/>
      </w:tblGrid>
      <w:tr>
        <w:trPr>
          <w:trHeight w:val="525" w:hRule="atLeast"/>
        </w:trPr>
        <w:tc>
          <w:tcPr>
            <w:tcW w:w="353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指标</w:t>
            </w:r>
          </w:p>
        </w:tc>
        <w:tc>
          <w:tcPr>
            <w:tcW w:w="336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2022</w:t>
            </w:r>
          </w:p>
        </w:tc>
        <w:tc>
          <w:tcPr>
            <w:tcW w:w="336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2023</w:t>
            </w:r>
          </w:p>
        </w:tc>
        <w:tc>
          <w:tcPr>
            <w:tcW w:w="336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2024</w:t>
            </w:r>
          </w:p>
        </w:tc>
      </w:tr>
      <w:tr>
        <w:trPr>
          <w:trHeight w:val="510" w:hRule="atLeast"/>
        </w:trPr>
        <w:tc>
          <w:tcPr>
            <w:tcW w:w="353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有线电视网络收入</w:t>
            </w:r>
          </w:p>
        </w:tc>
        <w:tc>
          <w:tcPr>
            <w:tcW w:w="336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719.55</w:t>
            </w:r>
          </w:p>
        </w:tc>
        <w:tc>
          <w:tcPr>
            <w:tcW w:w="336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712.06</w:t>
            </w:r>
          </w:p>
        </w:tc>
        <w:tc>
          <w:tcPr>
            <w:tcW w:w="336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739.37</w:t>
            </w:r>
          </w:p>
        </w:tc>
      </w:tr>
      <w:tr>
        <w:trPr>
          <w:trHeight w:val="510" w:hRule="atLeast"/>
        </w:trPr>
        <w:tc>
          <w:tcPr>
            <w:tcW w:w="353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网络视听收入</w:t>
            </w:r>
          </w:p>
        </w:tc>
        <w:tc>
          <w:tcPr>
            <w:tcW w:w="336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4419.80</w:t>
            </w:r>
          </w:p>
        </w:tc>
        <w:tc>
          <w:tcPr>
            <w:tcW w:w="336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5642.81</w:t>
            </w:r>
          </w:p>
        </w:tc>
        <w:tc>
          <w:tcPr>
            <w:tcW w:w="336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6346.18</w:t>
            </w:r>
          </w:p>
        </w:tc>
      </w:tr>
      <w:tr>
        <w:trPr>
          <w:trHeight w:val="510" w:hRule="atLeast"/>
        </w:trPr>
        <w:tc>
          <w:tcPr>
            <w:tcW w:w="353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实际创收收入</w:t>
            </w:r>
          </w:p>
        </w:tc>
        <w:tc>
          <w:tcPr>
            <w:tcW w:w="336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10668.52</w:t>
            </w:r>
          </w:p>
        </w:tc>
        <w:tc>
          <w:tcPr>
            <w:tcW w:w="336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12212.08</w:t>
            </w:r>
          </w:p>
        </w:tc>
        <w:tc>
          <w:tcPr>
            <w:tcW w:w="336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12855.87</w:t>
            </w:r>
          </w:p>
        </w:tc>
      </w:tr>
    </w:tbl>
    <w:p>
      <w:pPr>
        <w:numPr>
          <w:ilvl w:val="0"/>
          <w:numId w:val="11"/>
        </w:numPr>
        <w:spacing w:before="0" w:after="0"/>
        <w:jc w:val="left"/>
      </w:pPr>
      <w:r>
        <w:rPr>
          <w:rFonts w:ascii="Times New Roman" w:hAnsi="Times New Roman"/>
          <w:b w:val="false"/>
          <w:i w:val="false"/>
          <w:color w:val="000000"/>
          <w:sz w:val="22"/>
        </w:rPr>
        <w:t>电视广播板块（上市群体）</w:t>
      </w:r>
    </w:p>
    <w:tbl>
      <w:tblPr>
        <w:tblW w:w="0" w:type="auto"/>
        <w:tblCellSpacing w:w="0" w:type="auto"/>
        <w:tblInd w:w="115" w:type="dxa"/>
        <w:tblBorders>
          <w:top w:val="single" w:color="aaaaaa" w:sz="8"/>
          <w:left w:val="single" w:color="aaaaaa" w:sz="8"/>
          <w:bottom w:val="single" w:color="aaaaaa" w:sz="8"/>
          <w:right w:val="single" w:color="aaaaaa" w:sz="8"/>
          <w:insideH w:val="none"/>
          <w:insideV w:val="none"/>
        </w:tblBorders>
      </w:tblPr>
      <w:tblGrid>
        <w:gridCol w:w="3393"/>
        <w:gridCol w:w="3808"/>
        <w:gridCol w:w="2755"/>
        <w:gridCol w:w="3678"/>
      </w:tblGrid>
      <w:tr>
        <w:trPr>
          <w:trHeight w:val="525" w:hRule="atLeast"/>
        </w:trPr>
        <w:tc>
          <w:tcPr>
            <w:tcW w:w="339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期间</w:t>
            </w:r>
          </w:p>
        </w:tc>
        <w:tc>
          <w:tcPr>
            <w:tcW w:w="380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营收</w:t>
            </w:r>
          </w:p>
        </w:tc>
        <w:tc>
          <w:tcPr>
            <w:tcW w:w="275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同比</w:t>
            </w:r>
          </w:p>
        </w:tc>
        <w:tc>
          <w:tcPr>
            <w:tcW w:w="36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归母净利润</w:t>
            </w:r>
          </w:p>
        </w:tc>
      </w:tr>
      <w:tr>
        <w:trPr>
          <w:trHeight w:val="510" w:hRule="atLeast"/>
        </w:trPr>
        <w:tc>
          <w:tcPr>
            <w:tcW w:w="339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2024全年</w:t>
            </w:r>
          </w:p>
        </w:tc>
        <w:tc>
          <w:tcPr>
            <w:tcW w:w="380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438.36亿元</w:t>
            </w:r>
          </w:p>
        </w:tc>
        <w:tc>
          <w:tcPr>
            <w:tcW w:w="275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-3.5%</w:t>
            </w:r>
          </w:p>
        </w:tc>
        <w:tc>
          <w:tcPr>
            <w:tcW w:w="36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-13.74亿元</w:t>
            </w:r>
          </w:p>
        </w:tc>
      </w:tr>
      <w:tr>
        <w:trPr>
          <w:trHeight w:val="510" w:hRule="atLeast"/>
        </w:trPr>
        <w:tc>
          <w:tcPr>
            <w:tcW w:w="339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2025Q1</w:t>
            </w:r>
          </w:p>
        </w:tc>
        <w:tc>
          <w:tcPr>
            <w:tcW w:w="380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97.29亿元</w:t>
            </w:r>
          </w:p>
        </w:tc>
        <w:tc>
          <w:tcPr>
            <w:tcW w:w="275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-1.2%</w:t>
            </w:r>
          </w:p>
        </w:tc>
        <w:tc>
          <w:tcPr>
            <w:tcW w:w="367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-0.9亿元</w:t>
            </w:r>
          </w:p>
        </w:tc>
      </w:tr>
    </w:tbl>
    <w:p>
      <w:pPr>
        <w:numPr>
          <w:ilvl w:val="0"/>
          <w:numId w:val="12"/>
        </w:numPr>
        <w:spacing w:before="0" w:after="0"/>
        <w:jc w:val="left"/>
      </w:pPr>
      <w:r>
        <w:rPr>
          <w:rFonts w:ascii="Times New Roman" w:hAnsi="Times New Roman"/>
          <w:b w:val="false"/>
          <w:i w:val="false"/>
          <w:color w:val="000000"/>
          <w:sz w:val="22"/>
        </w:rPr>
        <w:t>IPTV/OTT/有线用户与活跃</w:t>
      </w:r>
    </w:p>
    <w:tbl>
      <w:tblPr>
        <w:tblW w:w="0" w:type="auto"/>
        <w:tblCellSpacing w:w="0" w:type="auto"/>
        <w:tblInd w:w="115" w:type="dxa"/>
        <w:tblBorders>
          <w:top w:val="single" w:color="aaaaaa" w:sz="8"/>
          <w:left w:val="single" w:color="aaaaaa" w:sz="8"/>
          <w:bottom w:val="single" w:color="aaaaaa" w:sz="8"/>
          <w:right w:val="single" w:color="aaaaaa" w:sz="8"/>
          <w:insideH w:val="none"/>
          <w:insideV w:val="none"/>
        </w:tblBorders>
      </w:tblPr>
      <w:tblGrid>
        <w:gridCol w:w="4065"/>
        <w:gridCol w:w="3203"/>
        <w:gridCol w:w="2998"/>
        <w:gridCol w:w="3368"/>
      </w:tblGrid>
      <w:tr>
        <w:trPr>
          <w:trHeight w:val="525" w:hRule="atLeast"/>
        </w:trPr>
        <w:tc>
          <w:tcPr>
            <w:tcW w:w="406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指标</w:t>
            </w:r>
          </w:p>
        </w:tc>
        <w:tc>
          <w:tcPr>
            <w:tcW w:w="320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2024H1</w:t>
            </w:r>
          </w:p>
        </w:tc>
        <w:tc>
          <w:tcPr>
            <w:tcW w:w="299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2024年末</w:t>
            </w:r>
          </w:p>
        </w:tc>
        <w:tc>
          <w:tcPr>
            <w:tcW w:w="336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2025年1月</w:t>
            </w:r>
          </w:p>
        </w:tc>
      </w:tr>
      <w:tr>
        <w:trPr>
          <w:trHeight w:val="510" w:hRule="atLeast"/>
        </w:trPr>
        <w:tc>
          <w:tcPr>
            <w:tcW w:w="406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IPTV用户</w:t>
            </w:r>
          </w:p>
        </w:tc>
        <w:tc>
          <w:tcPr>
            <w:tcW w:w="320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4.05亿</w:t>
            </w:r>
          </w:p>
        </w:tc>
        <w:tc>
          <w:tcPr>
            <w:tcW w:w="299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4.08亿</w:t>
            </w:r>
          </w:p>
        </w:tc>
        <w:tc>
          <w:tcPr>
            <w:tcW w:w="336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r>
      <w:tr>
        <w:trPr>
          <w:trHeight w:val="510" w:hRule="atLeast"/>
        </w:trPr>
        <w:tc>
          <w:tcPr>
            <w:tcW w:w="406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有线电视实际用户</w:t>
            </w:r>
          </w:p>
        </w:tc>
        <w:tc>
          <w:tcPr>
            <w:tcW w:w="320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2.08亿</w:t>
            </w:r>
          </w:p>
        </w:tc>
        <w:tc>
          <w:tcPr>
            <w:tcW w:w="299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c>
          <w:tcPr>
            <w:tcW w:w="336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r>
      <w:tr>
        <w:trPr>
          <w:trHeight w:val="510" w:hRule="atLeast"/>
        </w:trPr>
        <w:tc>
          <w:tcPr>
            <w:tcW w:w="406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OTT月活终端数</w:t>
            </w:r>
          </w:p>
        </w:tc>
        <w:tc>
          <w:tcPr>
            <w:tcW w:w="320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c>
          <w:tcPr>
            <w:tcW w:w="299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c>
          <w:tcPr>
            <w:tcW w:w="336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3.14亿台</w:t>
            </w:r>
          </w:p>
        </w:tc>
      </w:tr>
      <w:tr>
        <w:trPr>
          <w:trHeight w:val="510" w:hRule="atLeast"/>
        </w:trPr>
        <w:tc>
          <w:tcPr>
            <w:tcW w:w="4065"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OTT月活率</w:t>
            </w:r>
          </w:p>
        </w:tc>
        <w:tc>
          <w:tcPr>
            <w:tcW w:w="3203"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c>
          <w:tcPr>
            <w:tcW w:w="299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c>
          <w:tcPr>
            <w:tcW w:w="3368"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93%</w:t>
            </w:r>
          </w:p>
        </w:tc>
      </w:tr>
    </w:tbl>
    <w:p>
      <w:pPr>
        <w:numPr>
          <w:ilvl w:val="0"/>
          <w:numId w:val="13"/>
        </w:numPr>
        <w:spacing w:before="0" w:after="0"/>
        <w:jc w:val="left"/>
      </w:pPr>
      <w:r>
        <w:rPr>
          <w:rFonts w:ascii="Times New Roman" w:hAnsi="Times New Roman"/>
          <w:b w:val="false"/>
          <w:i w:val="false"/>
          <w:color w:val="000000"/>
          <w:sz w:val="22"/>
        </w:rPr>
        <w:t>广西广电公司快照</w:t>
      </w:r>
    </w:p>
    <w:tbl>
      <w:tblPr>
        <w:tblW w:w="0" w:type="auto"/>
        <w:tblCellSpacing w:w="0" w:type="auto"/>
        <w:tblInd w:w="115" w:type="dxa"/>
        <w:tblBorders>
          <w:top w:val="single" w:color="aaaaaa" w:sz="8"/>
          <w:left w:val="single" w:color="aaaaaa" w:sz="8"/>
          <w:bottom w:val="single" w:color="aaaaaa" w:sz="8"/>
          <w:right w:val="single" w:color="aaaaaa" w:sz="8"/>
          <w:insideH w:val="none"/>
          <w:insideV w:val="none"/>
        </w:tblBorders>
      </w:tblPr>
      <w:tblGrid>
        <w:gridCol w:w="4847"/>
        <w:gridCol w:w="2441"/>
        <w:gridCol w:w="3196"/>
        <w:gridCol w:w="3150"/>
      </w:tblGrid>
      <w:tr>
        <w:trPr>
          <w:trHeight w:val="525" w:hRule="atLeast"/>
        </w:trPr>
        <w:tc>
          <w:tcPr>
            <w:tcW w:w="484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期间</w:t>
            </w:r>
          </w:p>
        </w:tc>
        <w:tc>
          <w:tcPr>
            <w:tcW w:w="2441"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营业收入</w:t>
            </w:r>
          </w:p>
        </w:tc>
        <w:tc>
          <w:tcPr>
            <w:tcW w:w="319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归母净利润</w:t>
            </w:r>
          </w:p>
        </w:tc>
        <w:tc>
          <w:tcPr>
            <w:tcW w:w="315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备注</w:t>
            </w:r>
          </w:p>
        </w:tc>
      </w:tr>
      <w:tr>
        <w:trPr>
          <w:trHeight w:val="510" w:hRule="atLeast"/>
        </w:trPr>
        <w:tc>
          <w:tcPr>
            <w:tcW w:w="484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2024年</w:t>
            </w:r>
          </w:p>
        </w:tc>
        <w:tc>
          <w:tcPr>
            <w:tcW w:w="2441"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13.59亿元</w:t>
            </w:r>
          </w:p>
        </w:tc>
        <w:tc>
          <w:tcPr>
            <w:tcW w:w="319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-8.83亿元</w:t>
            </w:r>
          </w:p>
        </w:tc>
        <w:tc>
          <w:tcPr>
            <w:tcW w:w="315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旧业务（广电网络）</w:t>
            </w:r>
          </w:p>
        </w:tc>
      </w:tr>
      <w:tr>
        <w:trPr>
          <w:trHeight w:val="510" w:hRule="atLeast"/>
        </w:trPr>
        <w:tc>
          <w:tcPr>
            <w:tcW w:w="484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2025Q1</w:t>
            </w:r>
          </w:p>
        </w:tc>
        <w:tc>
          <w:tcPr>
            <w:tcW w:w="2441"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2.62亿元</w:t>
            </w:r>
          </w:p>
        </w:tc>
        <w:tc>
          <w:tcPr>
            <w:tcW w:w="319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-1.98亿元</w:t>
            </w:r>
          </w:p>
        </w:tc>
        <w:tc>
          <w:tcPr>
            <w:tcW w:w="315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转型前季度数据</w:t>
            </w:r>
          </w:p>
        </w:tc>
      </w:tr>
      <w:tr>
        <w:trPr>
          <w:trHeight w:val="510" w:hRule="atLeast"/>
        </w:trPr>
        <w:tc>
          <w:tcPr>
            <w:tcW w:w="484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2024备考（交易完成后测算）</w:t>
            </w:r>
          </w:p>
        </w:tc>
        <w:tc>
          <w:tcPr>
            <w:tcW w:w="2441"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31.90亿元</w:t>
            </w:r>
          </w:p>
        </w:tc>
        <w:tc>
          <w:tcPr>
            <w:tcW w:w="319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近2亿元</w:t>
            </w:r>
          </w:p>
        </w:tc>
        <w:tc>
          <w:tcPr>
            <w:tcW w:w="315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交科集团并表测算</w:t>
            </w:r>
          </w:p>
        </w:tc>
      </w:tr>
      <w:tr>
        <w:trPr>
          <w:trHeight w:val="510" w:hRule="atLeast"/>
        </w:trPr>
        <w:tc>
          <w:tcPr>
            <w:tcW w:w="484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2025Q3季度指标</w:t>
            </w:r>
          </w:p>
        </w:tc>
        <w:tc>
          <w:tcPr>
            <w:tcW w:w="2441"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w:t>
            </w:r>
          </w:p>
        </w:tc>
        <w:tc>
          <w:tcPr>
            <w:tcW w:w="319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-3.44亿元（季）</w:t>
            </w:r>
          </w:p>
        </w:tc>
        <w:tc>
          <w:tcPr>
            <w:tcW w:w="3150"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实际扭亏尚未兑现</w:t>
            </w:r>
          </w:p>
        </w:tc>
      </w:tr>
    </w:tbl>
    <w:p>
      <w:pPr>
        <w:spacing w:before="180" w:after="180"/>
        <w:ind w:left="120"/>
        <w:jc w:val="left"/>
      </w:pPr>
      <w:r>
        <w:rPr>
          <w:rFonts w:ascii="Times New Roman" w:hAnsi="Times New Roman"/>
          <w:b/>
          <w:i w:val="false"/>
          <w:color w:val="000000"/>
          <w:sz w:val="33"/>
        </w:rPr>
        <w:t>7+ 研究要点与投资判断</w:t>
      </w:r>
    </w:p>
    <w:p>
      <w:pPr>
        <w:numPr>
          <w:ilvl w:val="0"/>
          <w:numId w:val="14"/>
        </w:numPr>
        <w:spacing w:before="0" w:after="0"/>
        <w:jc w:val="left"/>
      </w:pPr>
      <w:r>
        <w:rPr>
          <w:rFonts w:ascii="Times New Roman" w:hAnsi="Times New Roman"/>
          <w:b/>
          <w:i w:val="false"/>
          <w:color w:val="000000"/>
          <w:sz w:val="22"/>
        </w:rPr>
        <w:t>旧业务脱离的战略意义</w:t>
      </w:r>
      <w:r>
        <w:rPr>
          <w:rFonts w:ascii="Times New Roman" w:hAnsi="Times New Roman"/>
          <w:b w:val="false"/>
          <w:i w:val="false"/>
          <w:color w:val="000000"/>
          <w:sz w:val="22"/>
        </w:rPr>
        <w:t>：广西广电从重亏的广电网络运营切换至智慧交通产业链，</w:t>
      </w:r>
      <w:r>
        <w:rPr>
          <w:rFonts w:ascii="Times New Roman" w:hAnsi="Times New Roman"/>
          <w:b/>
          <w:i w:val="false"/>
          <w:color w:val="000000"/>
          <w:sz w:val="22"/>
        </w:rPr>
        <w:t>备考显示盈利与财务安全性显著改善</w:t>
      </w:r>
      <w:r>
        <w:rPr>
          <w:rFonts w:ascii="Times New Roman" w:hAnsi="Times New Roman"/>
          <w:b w:val="false"/>
          <w:i w:val="false"/>
          <w:color w:val="000000"/>
          <w:sz w:val="22"/>
        </w:rPr>
        <w:t>，资产负债率与利息保障倍数提升，逻辑在于工程与信息化集成的现金流与利润质量优于原有线业务。</w:t>
      </w:r>
    </w:p>
    <w:p>
      <w:pPr>
        <w:numPr>
          <w:ilvl w:val="0"/>
          <w:numId w:val="14"/>
        </w:numPr>
        <w:spacing w:before="0" w:after="0"/>
        <w:jc w:val="left"/>
      </w:pPr>
      <w:r>
        <w:rPr>
          <w:rFonts w:ascii="Times New Roman" w:hAnsi="Times New Roman"/>
          <w:b/>
          <w:i w:val="false"/>
          <w:color w:val="000000"/>
          <w:sz w:val="22"/>
        </w:rPr>
        <w:t>业绩兑现路径</w:t>
      </w:r>
      <w:r>
        <w:rPr>
          <w:rFonts w:ascii="Times New Roman" w:hAnsi="Times New Roman"/>
          <w:b w:val="false"/>
          <w:i w:val="false"/>
          <w:color w:val="000000"/>
          <w:sz w:val="22"/>
        </w:rPr>
        <w:t>：关注交科集团的区域工程获取能力（广西本地政策资源与客户基础）与外延扩张（跨区域系统集成），对应订单落地、项目结算与现金回款节奏，验证“备考盈利”向“并表盈利”的转化。</w:t>
      </w:r>
    </w:p>
    <w:p>
      <w:pPr>
        <w:numPr>
          <w:ilvl w:val="0"/>
          <w:numId w:val="14"/>
        </w:numPr>
        <w:spacing w:before="0" w:after="0"/>
        <w:jc w:val="left"/>
      </w:pPr>
      <w:r>
        <w:rPr>
          <w:rFonts w:ascii="Times New Roman" w:hAnsi="Times New Roman"/>
          <w:b/>
          <w:i w:val="false"/>
          <w:color w:val="000000"/>
          <w:sz w:val="22"/>
        </w:rPr>
        <w:t>风险与变量</w:t>
      </w:r>
      <w:r>
        <w:rPr>
          <w:rFonts w:ascii="Times New Roman" w:hAnsi="Times New Roman"/>
          <w:b w:val="false"/>
          <w:i w:val="false"/>
          <w:color w:val="000000"/>
          <w:sz w:val="22"/>
        </w:rPr>
        <w:t>：旧业务尾项（应收回款/存量项目）影响、转型初期并表磨合，2025Q3季度指标仍亏，提示需要跟踪全年与2026年数据；行业端广电监管推进节奏与终端整改、内容与价格策略的持续性亦为变量。</w:t>
      </w:r>
    </w:p>
    <w:p>
      <w:pPr>
        <w:spacing w:before="180" w:after="180"/>
        <w:ind w:left="120"/>
        <w:jc w:val="left"/>
      </w:pPr>
      <w:r>
        <w:rPr>
          <w:rFonts w:ascii="Times New Roman" w:hAnsi="Times New Roman"/>
          <w:b/>
          <w:i w:val="false"/>
          <w:color w:val="000000"/>
          <w:sz w:val="33"/>
        </w:rPr>
        <w:t>【可能延伸的思考维度】</w:t>
      </w:r>
    </w:p>
    <w:p>
      <w:pPr>
        <w:numPr>
          <w:ilvl w:val="0"/>
          <w:numId w:val="15"/>
        </w:numPr>
        <w:spacing w:before="0" w:after="0"/>
        <w:jc w:val="left"/>
      </w:pPr>
      <w:r>
        <w:rPr>
          <w:rFonts w:ascii="Times New Roman" w:hAnsi="Times New Roman"/>
          <w:b w:val="false"/>
          <w:i w:val="false"/>
          <w:color w:val="000000"/>
          <w:sz w:val="22"/>
        </w:rPr>
        <w:t>追踪交科集团并表后的“在手订单/新签合同/回款”三项关键经营KPI的季度披露，建立转型后盈利模型。</w:t>
      </w:r>
    </w:p>
    <w:p>
      <w:pPr>
        <w:numPr>
          <w:ilvl w:val="0"/>
          <w:numId w:val="15"/>
        </w:numPr>
        <w:spacing w:before="0" w:after="0"/>
        <w:jc w:val="left"/>
      </w:pPr>
      <w:r>
        <w:rPr>
          <w:rFonts w:ascii="Times New Roman" w:hAnsi="Times New Roman"/>
          <w:b w:val="false"/>
          <w:i w:val="false"/>
          <w:color w:val="000000"/>
          <w:sz w:val="22"/>
        </w:rPr>
        <w:t>对比区域内同类型“智慧交通+信息系统集成”企业的毛利率/现金流特征，评估广西广电转型后的盈利质量与估值锚。</w:t>
      </w:r>
    </w:p>
    <w:p>
      <w:pPr>
        <w:numPr>
          <w:ilvl w:val="0"/>
          <w:numId w:val="15"/>
        </w:numPr>
        <w:spacing w:before="0" w:after="0"/>
        <w:jc w:val="left"/>
      </w:pPr>
      <w:r>
        <w:rPr>
          <w:rFonts w:ascii="Times New Roman" w:hAnsi="Times New Roman"/>
          <w:b w:val="false"/>
          <w:i w:val="false"/>
          <w:color w:val="000000"/>
          <w:sz w:val="22"/>
        </w:rPr>
        <w:t>设计广电旧业务尾项（应收账款、存量项目）的处置与清收进度监控框架，评估其对新业务现金流的扰动度。</w:t>
      </w:r>
    </w:p>
    <w:sectPr>
      <w:pgSz w:w="11907" w:h="16839" w:code="9"/>
      <w:pgMar w:top="1440" w:right="1440" w:bottom="1440" w:left="1440"/>
    </w:sectPr>
  </w:body>
</w:document>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1">
    <w:multiLevelType w:val="multilevel"/>
    <w:lvl w:ilvl="0">
      <w:start w:val="1"/>
      <w:numFmt w:val="bullet"/>
      <w:lvlText w:val=""/>
      <w:lvlJc w:val="left"/>
      <w:pPr>
        <w:ind w:left="960" w:hanging="360"/>
      </w:pPr>
      <w:rPr>
        <w:rFonts w:hint="default" w:ascii="Symbol" w:hAnsi="Symbol"/>
      </w:rPr>
    </w:lvl>
  </w:abstractNum>
  <w:abstractNum w:abstractNumId="2">
    <w:multiLevelType w:val="multilevel"/>
    <w:lvl w:ilvl="0">
      <w:start w:val="1"/>
      <w:numFmt w:val="bullet"/>
      <w:lvlText w:val=""/>
      <w:lvlJc w:val="left"/>
      <w:pPr>
        <w:ind w:left="960" w:hanging="360"/>
      </w:pPr>
      <w:rPr>
        <w:rFonts w:hint="default" w:ascii="Symbol" w:hAnsi="Symbol"/>
      </w:rPr>
    </w:lvl>
  </w:abstractNum>
  <w:abstractNum w:abstractNumId="3">
    <w:multiLevelType w:val="multilevel"/>
    <w:lvl w:ilvl="0">
      <w:start w:val="1"/>
      <w:numFmt w:val="bullet"/>
      <w:lvlText w:val=""/>
      <w:lvlJc w:val="left"/>
      <w:pPr>
        <w:ind w:left="960" w:hanging="360"/>
      </w:pPr>
      <w:rPr>
        <w:rFonts w:hint="default" w:ascii="Symbol" w:hAnsi="Symbol"/>
      </w:rPr>
    </w:lvl>
  </w:abstractNum>
  <w:abstractNum w:abstractNumId="4">
    <w:multiLevelType w:val="multilevel"/>
    <w:lvl w:ilvl="0">
      <w:start w:val="1"/>
      <w:numFmt w:val="bullet"/>
      <w:lvlText w:val=""/>
      <w:lvlJc w:val="left"/>
      <w:pPr>
        <w:ind w:left="960" w:hanging="360"/>
      </w:pPr>
      <w:rPr>
        <w:rFonts w:hint="default" w:ascii="Symbol" w:hAnsi="Symbol"/>
      </w:rPr>
    </w:lvl>
  </w:abstractNum>
  <w:abstractNum w:abstractNumId="5">
    <w:multiLevelType w:val="multilevel"/>
    <w:lvl w:ilvl="0">
      <w:start w:val="1"/>
      <w:numFmt w:val="bullet"/>
      <w:lvlText w:val=""/>
      <w:lvlJc w:val="left"/>
      <w:pPr>
        <w:ind w:left="960" w:hanging="360"/>
      </w:pPr>
      <w:rPr>
        <w:rFonts w:hint="default" w:ascii="Symbol" w:hAnsi="Symbol"/>
      </w:rPr>
    </w:lvl>
  </w:abstractNum>
  <w:abstractNum w:abstractNumId="6">
    <w:multiLevelType w:val="multilevel"/>
    <w:lvl w:ilvl="0">
      <w:start w:val="1"/>
      <w:numFmt w:val="bullet"/>
      <w:lvlText w:val=""/>
      <w:lvlJc w:val="left"/>
      <w:pPr>
        <w:ind w:left="960" w:hanging="360"/>
      </w:pPr>
      <w:rPr>
        <w:rFonts w:hint="default" w:ascii="Symbol" w:hAnsi="Symbol"/>
      </w:rPr>
    </w:lvl>
  </w:abstractNum>
  <w:abstractNum w:abstractNumId="7">
    <w:multiLevelType w:val="multilevel"/>
    <w:lvl w:ilvl="0">
      <w:start w:val="1"/>
      <w:numFmt w:val="bullet"/>
      <w:lvlText w:val=""/>
      <w:lvlJc w:val="left"/>
      <w:pPr>
        <w:ind w:left="960" w:hanging="360"/>
      </w:pPr>
      <w:rPr>
        <w:rFonts w:hint="default" w:ascii="Symbol" w:hAnsi="Symbol"/>
      </w:rPr>
    </w:lvl>
  </w:abstractNum>
  <w:abstractNum w:abstractNumId="8">
    <w:multiLevelType w:val="multilevel"/>
    <w:lvl w:ilvl="0">
      <w:start w:val="1"/>
      <w:numFmt w:val="bullet"/>
      <w:lvlText w:val=""/>
      <w:lvlJc w:val="left"/>
      <w:pPr>
        <w:ind w:left="960" w:hanging="360"/>
      </w:pPr>
      <w:rPr>
        <w:rFonts w:hint="default" w:ascii="Symbol" w:hAnsi="Symbol"/>
      </w:rPr>
    </w:lvl>
  </w:abstractNum>
  <w:abstractNum w:abstractNumId="9">
    <w:multiLevelType w:val="multilevel"/>
    <w:lvl w:ilvl="0">
      <w:start w:val="1"/>
      <w:numFmt w:val="bullet"/>
      <w:lvlText w:val=""/>
      <w:lvlJc w:val="left"/>
      <w:pPr>
        <w:ind w:left="960" w:hanging="360"/>
      </w:pPr>
      <w:rPr>
        <w:rFonts w:hint="default" w:ascii="Symbol" w:hAnsi="Symbol"/>
      </w:rPr>
    </w:lvl>
  </w:abstractNum>
  <w:abstractNum w:abstractNumId="10">
    <w:multiLevelType w:val="multilevel"/>
    <w:lvl w:ilvl="0">
      <w:start w:val="1"/>
      <w:numFmt w:val="bullet"/>
      <w:lvlText w:val=""/>
      <w:lvlJc w:val="left"/>
      <w:pPr>
        <w:ind w:left="960" w:hanging="360"/>
      </w:pPr>
      <w:rPr>
        <w:rFonts w:hint="default" w:ascii="Symbol" w:hAnsi="Symbol"/>
      </w:rPr>
    </w:lvl>
  </w:abstractNum>
  <w:abstractNum w:abstractNumId="11">
    <w:multiLevelType w:val="multilevel"/>
    <w:lvl w:ilvl="0">
      <w:start w:val="1"/>
      <w:numFmt w:val="bullet"/>
      <w:lvlText w:val=""/>
      <w:lvlJc w:val="left"/>
      <w:pPr>
        <w:ind w:left="960" w:hanging="360"/>
      </w:pPr>
      <w:rPr>
        <w:rFonts w:hint="default" w:ascii="Symbol" w:hAnsi="Symbol"/>
      </w:rPr>
    </w:lvl>
  </w:abstractNum>
  <w:abstractNum w:abstractNumId="12">
    <w:multiLevelType w:val="multilevel"/>
    <w:lvl w:ilvl="0">
      <w:start w:val="1"/>
      <w:numFmt w:val="bullet"/>
      <w:lvlText w:val=""/>
      <w:lvlJc w:val="left"/>
      <w:pPr>
        <w:ind w:left="960" w:hanging="360"/>
      </w:pPr>
      <w:rPr>
        <w:rFonts w:hint="default" w:ascii="Symbol" w:hAnsi="Symbol"/>
      </w:rPr>
    </w:lvl>
  </w:abstractNum>
  <w:abstractNum w:abstractNumId="13">
    <w:multiLevelType w:val="multilevel"/>
    <w:lvl w:ilvl="0">
      <w:start w:val="1"/>
      <w:numFmt w:val="bullet"/>
      <w:lvlText w:val=""/>
      <w:lvlJc w:val="left"/>
      <w:pPr>
        <w:ind w:left="960" w:hanging="360"/>
      </w:pPr>
      <w:rPr>
        <w:rFonts w:hint="default" w:ascii="Symbol" w:hAnsi="Symbol"/>
      </w:rPr>
    </w:lvl>
  </w:abstractNum>
  <w:abstractNum w:abstractNumId="14">
    <w:multiLevelType w:val="multilevel"/>
    <w:lvl w:ilvl="0">
      <w:start w:val="1"/>
      <w:numFmt w:val="bullet"/>
      <w:lvlText w:val=""/>
      <w:lvlJc w:val="left"/>
      <w:pPr>
        <w:ind w:left="960" w:hanging="360"/>
      </w:pPr>
      <w:rPr>
        <w:rFonts w:hint="default" w:ascii="Symbol" w:hAnsi="Symbol"/>
      </w:rPr>
    </w:lvl>
  </w:abstractNum>
  <w:abstractNum w:abstractNumId="15">
    <w:multiLevelType w:val="multilevel"/>
    <w:lvl w:ilvl="0">
      <w:start w:val="1"/>
      <w:numFmt w:val="bullet"/>
      <w:lvlText w:val=""/>
      <w:lvlJc w:val="left"/>
      <w:pPr>
        <w:ind w:left="960"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jpeg" Type="http://schemas.openxmlformats.org/officeDocument/2006/relationships/image" Id="rId4"/>
    <Relationship Target="media/document_image_rId5.jpeg" Type="http://schemas.openxmlformats.org/officeDocument/2006/relationships/image" Id="rId5"/>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