
<file path=[Content_Types].xml><?xml version="1.0" encoding="utf-8"?>
<Types xmlns="http://schemas.openxmlformats.org/package/2006/content-types">
  <Default Extension="jpeg" ContentType="image/jpeg"/>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3.9 (Apache licensed) using REFERENCE JAXB in Oracle Java 1.8.0_321 on Linux -->
    <w:p>
      <w:pPr>
        <w:spacing w:before="300" w:after="300"/>
        <w:ind w:left="120"/>
        <w:jc w:val="center"/>
      </w:pPr>
      <w:r>
        <w:rPr>
          <w:rFonts w:ascii="Times New Roman" w:hAnsi="Times New Roman"/>
          <w:b/>
          <w:i w:val="false"/>
          <w:color w:val="000000"/>
          <w:sz w:val="30"/>
        </w:rPr>
        <w:t xml:space="preserve"> 你是一位股票研究专家，你目前的主要工作是... </w:t>
      </w:r>
    </w:p>
    <w:p>
      <w:pPr>
        <w:spacing w:before="180" w:after="180"/>
        <w:ind w:left="120"/>
        <w:jc w:val="left"/>
      </w:pPr>
      <w:r>
        <w:rPr>
          <w:rFonts w:ascii="Times New Roman" w:hAnsi="Times New Roman"/>
          <w:b/>
          <w:i w:val="false"/>
          <w:color w:val="000000"/>
          <w:sz w:val="33"/>
        </w:rPr>
        <w:t>核心结论</w:t>
      </w:r>
    </w:p>
    <w:p>
      <w:pPr>
        <w:numPr>
          <w:ilvl w:val="0"/>
          <w:numId w:val="1"/>
        </w:numPr>
        <w:spacing w:before="0" w:after="0"/>
        <w:jc w:val="left"/>
      </w:pPr>
      <w:r>
        <w:rPr>
          <w:rFonts w:ascii="Times New Roman" w:hAnsi="Times New Roman"/>
          <w:b w:val="false"/>
          <w:i w:val="false"/>
          <w:color w:val="000000"/>
          <w:sz w:val="22"/>
        </w:rPr>
        <w:t>【行业】2024年广电和网络视听总收入为</w:t>
      </w:r>
      <w:r>
        <w:rPr>
          <w:rFonts w:ascii="Times New Roman" w:hAnsi="Times New Roman"/>
          <w:b/>
          <w:i w:val="false"/>
          <w:color w:val="000000"/>
          <w:sz w:val="22"/>
        </w:rPr>
        <w:t>14878.02亿元，同比+5.32%</w:t>
      </w:r>
      <w:r>
        <w:rPr>
          <w:rFonts w:ascii="Times New Roman" w:hAnsi="Times New Roman"/>
          <w:b w:val="false"/>
          <w:i w:val="false"/>
          <w:color w:val="000000"/>
          <w:sz w:val="22"/>
        </w:rPr>
        <w:t>；其中“实际创收收入”口径为</w:t>
      </w:r>
      <w:r>
        <w:rPr>
          <w:rFonts w:ascii="Times New Roman" w:hAnsi="Times New Roman"/>
          <w:b/>
          <w:i w:val="false"/>
          <w:color w:val="000000"/>
          <w:sz w:val="22"/>
        </w:rPr>
        <w:t>12855.87亿元</w:t>
      </w:r>
      <w:r>
        <w:rPr>
          <w:rFonts w:ascii="Times New Roman" w:hAnsi="Times New Roman"/>
          <w:b w:val="false"/>
          <w:i w:val="false"/>
          <w:color w:val="000000"/>
          <w:sz w:val="22"/>
        </w:rPr>
        <w:t>，同比也增长，显示行业总体仍在恢复通道，但电视广播/有线板块承压，2025Q1板块收入仍小幅下行、亏损收窄不显著。</w:t>
      </w:r>
    </w:p>
    <w:p>
      <w:pPr>
        <w:numPr>
          <w:ilvl w:val="0"/>
          <w:numId w:val="1"/>
        </w:numPr>
        <w:spacing w:before="0" w:after="0"/>
        <w:jc w:val="left"/>
      </w:pPr>
      <w:r>
        <w:rPr>
          <w:rFonts w:ascii="Times New Roman" w:hAnsi="Times New Roman"/>
          <w:b w:val="false"/>
          <w:i w:val="false"/>
          <w:color w:val="000000"/>
          <w:sz w:val="22"/>
        </w:rPr>
        <w:t>【供需与格局】有线用户长期下滑后在治理“套娃”与大屏体验优化下边际改善，2024H1全国有线电视用户达</w:t>
      </w:r>
      <w:r>
        <w:rPr>
          <w:rFonts w:ascii="Times New Roman" w:hAnsi="Times New Roman"/>
          <w:b/>
          <w:i w:val="false"/>
          <w:color w:val="000000"/>
          <w:sz w:val="22"/>
        </w:rPr>
        <w:t>2.08亿户</w:t>
      </w:r>
      <w:r>
        <w:rPr>
          <w:rFonts w:ascii="Times New Roman" w:hAnsi="Times New Roman"/>
          <w:b w:val="false"/>
          <w:i w:val="false"/>
          <w:color w:val="000000"/>
          <w:sz w:val="22"/>
        </w:rPr>
        <w:t>（较23年末回升约600万），但IPTV渗透率继续下行、OTT大屏流量节点性波动，头部内容平台在大屏端优势固化，牌照商有望受益。</w:t>
      </w:r>
    </w:p>
    <w:p>
      <w:pPr>
        <w:numPr>
          <w:ilvl w:val="0"/>
          <w:numId w:val="1"/>
        </w:numPr>
        <w:spacing w:before="0" w:after="0"/>
        <w:jc w:val="left"/>
      </w:pPr>
      <w:r>
        <w:rPr>
          <w:rFonts w:ascii="Times New Roman" w:hAnsi="Times New Roman"/>
          <w:b w:val="false"/>
          <w:i w:val="false"/>
          <w:color w:val="000000"/>
          <w:sz w:val="22"/>
        </w:rPr>
        <w:t>【公司】广西广电2024年实现营收</w:t>
      </w:r>
      <w:r>
        <w:rPr>
          <w:rFonts w:ascii="Times New Roman" w:hAnsi="Times New Roman"/>
          <w:b/>
          <w:i w:val="false"/>
          <w:color w:val="000000"/>
          <w:sz w:val="22"/>
        </w:rPr>
        <w:t>13.59亿元</w:t>
      </w:r>
      <w:r>
        <w:rPr>
          <w:rFonts w:ascii="Times New Roman" w:hAnsi="Times New Roman"/>
          <w:b w:val="false"/>
          <w:i w:val="false"/>
          <w:color w:val="000000"/>
          <w:sz w:val="22"/>
        </w:rPr>
        <w:t>、归母净利**-8.83亿元**；2025Q1营收</w:t>
      </w:r>
      <w:r>
        <w:rPr>
          <w:rFonts w:ascii="Times New Roman" w:hAnsi="Times New Roman"/>
          <w:b/>
          <w:i w:val="false"/>
          <w:color w:val="000000"/>
          <w:sz w:val="22"/>
        </w:rPr>
        <w:t>2.62亿元</w:t>
      </w:r>
      <w:r>
        <w:rPr>
          <w:rFonts w:ascii="Times New Roman" w:hAnsi="Times New Roman"/>
          <w:b w:val="false"/>
          <w:i w:val="false"/>
          <w:color w:val="000000"/>
          <w:sz w:val="22"/>
        </w:rPr>
        <w:t>、归母净利**-1.981亿元**，亏损延续。2025年8月完成重大资产置换，上市公司剥离广电网络业务并置入交科集团51%股权，转型“数智工程/勘察设计/试验检测/新材料/机电设备”，管理层判断将显著改善资产质量与盈利能力，广电网络原业务由广电科技承接。</w:t>
      </w:r>
    </w:p>
    <w:p>
      <w:pPr>
        <w:numPr>
          <w:ilvl w:val="0"/>
          <w:numId w:val="1"/>
        </w:numPr>
        <w:spacing w:before="0" w:after="0"/>
        <w:jc w:val="left"/>
      </w:pPr>
      <w:r>
        <w:rPr>
          <w:rFonts w:ascii="Times New Roman" w:hAnsi="Times New Roman"/>
          <w:b w:val="false"/>
          <w:i w:val="false"/>
          <w:color w:val="000000"/>
          <w:sz w:val="22"/>
        </w:rPr>
        <w:t>【投资要点】短期看，广电板块盈利拐点仍需行业规范落地与5G/一网整合兑现；中期看，大屏规范化与4K/超大屏普及或推升牌照价值；对广西广电个股，核心逻辑已从“有线/广电运营”切换为“智慧交通/数智工程”，需以置入资产业绩兑现为主线，传统广电维度的同业比较与估值体系已弱化。</w:t>
      </w:r>
    </w:p>
    <w:p>
      <w:pPr>
        <w:spacing w:before="269" w:after="269"/>
        <w:ind w:left="120"/>
        <w:jc w:val="left"/>
      </w:pPr>
      <w:r>
        <w:drawing>
          <wp:inline distT="0" distB="0" distL="0" distR="0">
            <wp:extent cx="5732145" cy="3610883"/>
            <wp:effectExtent l="0" t="0" r="0" b="0"/>
            <wp:docPr id="2" name="" descr=""/>
            <wp:cNvGraphicFramePr>
              <a:graphicFrameLocks noChangeAspect="true"/>
            </wp:cNvGraphicFramePr>
            <a:graphic>
              <a:graphicData uri="http://schemas.openxmlformats.org/drawingml/2006/picture">
                <pic:pic>
                  <pic:nvPicPr>
                    <pic:cNvPr id="1" name=""/>
                    <pic:cNvPicPr/>
                  </pic:nvPicPr>
                  <pic:blipFill>
                    <a:blip r:embed="rId4"/>
                    <a:stretch>
                      <a:fillRect/>
                    </a:stretch>
                  </pic:blipFill>
                  <pic:spPr>
                    <a:xfrm>
                      <a:off x="0" y="0"/>
                      <a:ext cx="5732145" cy="3610883"/>
                    </a:xfrm>
                    <a:prstGeom prst="rect">
                      <a:avLst/>
                    </a:prstGeom>
                  </pic:spPr>
                </pic:pic>
              </a:graphicData>
            </a:graphic>
          </wp:inline>
        </w:drawing>
      </w:r>
    </w:p>
    <w:p>
      <w:pPr>
        <w:spacing w:before="180" w:after="180"/>
        <w:ind w:left="120"/>
        <w:jc w:val="left"/>
      </w:pPr>
      <w:r>
        <w:rPr>
          <w:rFonts w:ascii="Times New Roman" w:hAnsi="Times New Roman"/>
          <w:b/>
          <w:i w:val="false"/>
          <w:color w:val="000000"/>
          <w:sz w:val="33"/>
        </w:rPr>
        <w:t>1. 行业数据与增速（含今年与明年展望）</w:t>
      </w:r>
    </w:p>
    <w:p>
      <w:pPr>
        <w:numPr>
          <w:ilvl w:val="0"/>
          <w:numId w:val="2"/>
        </w:numPr>
        <w:spacing w:before="0" w:after="0"/>
        <w:jc w:val="left"/>
      </w:pPr>
      <w:r>
        <w:rPr>
          <w:rFonts w:ascii="Times New Roman" w:hAnsi="Times New Roman"/>
          <w:b/>
          <w:i w:val="false"/>
          <w:color w:val="000000"/>
          <w:sz w:val="22"/>
        </w:rPr>
        <w:t>总量口径与增速</w:t>
      </w:r>
    </w:p>
    <w:p>
      <w:pPr>
        <w:numPr>
          <w:ilvl w:val="0"/>
          <w:numId w:val="2"/>
        </w:numPr>
        <w:spacing w:before="0" w:after="0"/>
        <w:jc w:val="left"/>
      </w:pPr>
      <w:r>
        <w:rPr>
          <w:rFonts w:ascii="Times New Roman" w:hAnsi="Times New Roman"/>
          <w:b w:val="false"/>
          <w:i w:val="false"/>
          <w:color w:val="000000"/>
          <w:sz w:val="22"/>
        </w:rPr>
        <w:t>2024年全国广电和网络视听行业总收入14878.02亿元，</w:t>
      </w:r>
      <w:r>
        <w:rPr>
          <w:rFonts w:ascii="Times New Roman" w:hAnsi="Times New Roman"/>
          <w:b/>
          <w:i w:val="false"/>
          <w:color w:val="000000"/>
          <w:sz w:val="22"/>
        </w:rPr>
        <w:t>同比+5.32%</w:t>
      </w:r>
      <w:r>
        <w:rPr>
          <w:rFonts w:ascii="Times New Roman" w:hAnsi="Times New Roman"/>
          <w:b w:val="false"/>
          <w:i w:val="false"/>
          <w:color w:val="000000"/>
          <w:sz w:val="22"/>
        </w:rPr>
        <w:t>；其中广播电视和网络视听“实际创收收入”12855.87亿元，亦同比增长。</w:t>
      </w:r>
    </w:p>
    <w:p>
      <w:pPr>
        <w:numPr>
          <w:ilvl w:val="0"/>
          <w:numId w:val="2"/>
        </w:numPr>
        <w:spacing w:before="0" w:after="0"/>
        <w:jc w:val="left"/>
      </w:pPr>
      <w:r>
        <w:rPr>
          <w:rFonts w:ascii="Times New Roman" w:hAnsi="Times New Roman"/>
          <w:b w:val="false"/>
          <w:i w:val="false"/>
          <w:color w:val="000000"/>
          <w:sz w:val="22"/>
        </w:rPr>
        <w:t>2024年电视广播（申万口径）营收</w:t>
      </w:r>
      <w:r>
        <w:rPr>
          <w:rFonts w:ascii="Times New Roman" w:hAnsi="Times New Roman"/>
          <w:b/>
          <w:i w:val="false"/>
          <w:color w:val="000000"/>
          <w:sz w:val="22"/>
        </w:rPr>
        <w:t>438.36亿元，yoy -3.5%</w:t>
      </w:r>
      <w:r>
        <w:rPr>
          <w:rFonts w:ascii="Times New Roman" w:hAnsi="Times New Roman"/>
          <w:b w:val="false"/>
          <w:i w:val="false"/>
          <w:color w:val="000000"/>
          <w:sz w:val="22"/>
        </w:rPr>
        <w:t>；2025Q1营收</w:t>
      </w:r>
      <w:r>
        <w:rPr>
          <w:rFonts w:ascii="Times New Roman" w:hAnsi="Times New Roman"/>
          <w:b/>
          <w:i w:val="false"/>
          <w:color w:val="000000"/>
          <w:sz w:val="22"/>
        </w:rPr>
        <w:t>97.29亿元，yoy -1.2%</w:t>
      </w:r>
      <w:r>
        <w:rPr>
          <w:rFonts w:ascii="Times New Roman" w:hAnsi="Times New Roman"/>
          <w:b w:val="false"/>
          <w:i w:val="false"/>
          <w:color w:val="000000"/>
          <w:sz w:val="22"/>
        </w:rPr>
        <w:t>，净利润**-0.9亿元**，板块亏损仍在。</w:t>
      </w:r>
    </w:p>
    <w:p>
      <w:pPr>
        <w:numPr>
          <w:ilvl w:val="0"/>
          <w:numId w:val="2"/>
        </w:numPr>
        <w:spacing w:before="0" w:after="0"/>
        <w:jc w:val="left"/>
      </w:pPr>
      <w:r>
        <w:rPr>
          <w:rFonts w:ascii="Times New Roman" w:hAnsi="Times New Roman"/>
          <w:b w:val="false"/>
          <w:i w:val="false"/>
          <w:color w:val="000000"/>
          <w:sz w:val="22"/>
        </w:rPr>
        <w:t>2025Q1广播电视板块实现营收</w:t>
      </w:r>
      <w:r>
        <w:rPr>
          <w:rFonts w:ascii="Times New Roman" w:hAnsi="Times New Roman"/>
          <w:b/>
          <w:i w:val="false"/>
          <w:color w:val="000000"/>
          <w:sz w:val="22"/>
        </w:rPr>
        <w:t>97.92亿元，yoy -1.75%</w:t>
      </w:r>
      <w:r>
        <w:rPr>
          <w:rFonts w:ascii="Times New Roman" w:hAnsi="Times New Roman"/>
          <w:b w:val="false"/>
          <w:i w:val="false"/>
          <w:color w:val="000000"/>
          <w:sz w:val="22"/>
        </w:rPr>
        <w:t>；归母净利**-0.88亿元**，下滑幅度有所减缓。</w:t>
      </w:r>
    </w:p>
    <w:p>
      <w:pPr>
        <w:numPr>
          <w:ilvl w:val="0"/>
          <w:numId w:val="2"/>
        </w:numPr>
        <w:spacing w:before="0" w:after="0"/>
        <w:jc w:val="left"/>
      </w:pPr>
      <w:r>
        <w:rPr>
          <w:rFonts w:ascii="Times New Roman" w:hAnsi="Times New Roman"/>
          <w:b/>
          <w:i w:val="false"/>
          <w:color w:val="000000"/>
          <w:sz w:val="22"/>
        </w:rPr>
        <w:t>分项口径（广电网络/网络视听）</w:t>
      </w:r>
    </w:p>
    <w:p>
      <w:pPr>
        <w:numPr>
          <w:ilvl w:val="0"/>
          <w:numId w:val="2"/>
        </w:numPr>
        <w:spacing w:before="0" w:after="0"/>
        <w:jc w:val="left"/>
      </w:pPr>
      <w:r>
        <w:rPr>
          <w:rFonts w:ascii="Times New Roman" w:hAnsi="Times New Roman"/>
          <w:b w:val="false"/>
          <w:i w:val="false"/>
          <w:color w:val="000000"/>
          <w:sz w:val="22"/>
        </w:rPr>
        <w:t>2024年“实际创收”构成：有线电视网络收入</w:t>
      </w:r>
      <w:r>
        <w:rPr>
          <w:rFonts w:ascii="Times New Roman" w:hAnsi="Times New Roman"/>
          <w:b/>
          <w:i w:val="false"/>
          <w:color w:val="000000"/>
          <w:sz w:val="22"/>
        </w:rPr>
        <w:t>739.37亿元</w:t>
      </w:r>
      <w:r>
        <w:rPr>
          <w:rFonts w:ascii="Times New Roman" w:hAnsi="Times New Roman"/>
          <w:b w:val="false"/>
          <w:i w:val="false"/>
          <w:color w:val="000000"/>
          <w:sz w:val="22"/>
        </w:rPr>
        <w:t>（较2023年小幅回升）、网络视听收入</w:t>
      </w:r>
      <w:r>
        <w:rPr>
          <w:rFonts w:ascii="Times New Roman" w:hAnsi="Times New Roman"/>
          <w:b/>
          <w:i w:val="false"/>
          <w:color w:val="000000"/>
          <w:sz w:val="22"/>
        </w:rPr>
        <w:t>6346.18亿元</w:t>
      </w:r>
      <w:r>
        <w:rPr>
          <w:rFonts w:ascii="Times New Roman" w:hAnsi="Times New Roman"/>
          <w:b w:val="false"/>
          <w:i w:val="false"/>
          <w:color w:val="000000"/>
          <w:sz w:val="22"/>
        </w:rPr>
        <w:t>（持续增长）。</w:t>
      </w:r>
    </w:p>
    <w:p>
      <w:pPr>
        <w:numPr>
          <w:ilvl w:val="0"/>
          <w:numId w:val="2"/>
        </w:numPr>
        <w:spacing w:before="0" w:after="0"/>
        <w:jc w:val="left"/>
      </w:pPr>
      <w:r>
        <w:rPr>
          <w:rFonts w:ascii="Times New Roman" w:hAnsi="Times New Roman"/>
          <w:b w:val="false"/>
          <w:i w:val="false"/>
          <w:color w:val="000000"/>
          <w:sz w:val="22"/>
        </w:rPr>
        <w:t>中国网络视听行业2024年市场规模</w:t>
      </w:r>
      <w:r>
        <w:rPr>
          <w:rFonts w:ascii="Times New Roman" w:hAnsi="Times New Roman"/>
          <w:b/>
          <w:i w:val="false"/>
          <w:color w:val="000000"/>
          <w:sz w:val="22"/>
        </w:rPr>
        <w:t>12226.49亿元</w:t>
      </w:r>
      <w:r>
        <w:rPr>
          <w:rFonts w:ascii="Times New Roman" w:hAnsi="Times New Roman"/>
          <w:b w:val="false"/>
          <w:i w:val="false"/>
          <w:color w:val="000000"/>
          <w:sz w:val="22"/>
        </w:rPr>
        <w:t>，同比增长（报告未给出具体百分比）。</w:t>
      </w:r>
    </w:p>
    <w:p>
      <w:pPr>
        <w:numPr>
          <w:ilvl w:val="0"/>
          <w:numId w:val="2"/>
        </w:numPr>
        <w:spacing w:before="0" w:after="0"/>
        <w:jc w:val="left"/>
      </w:pPr>
      <w:r>
        <w:rPr>
          <w:rFonts w:ascii="Times New Roman" w:hAnsi="Times New Roman"/>
          <w:b/>
          <w:i w:val="false"/>
          <w:color w:val="000000"/>
          <w:sz w:val="22"/>
        </w:rPr>
        <w:t>有线/广电新媒体子板块</w:t>
      </w:r>
    </w:p>
    <w:p>
      <w:pPr>
        <w:numPr>
          <w:ilvl w:val="0"/>
          <w:numId w:val="2"/>
        </w:numPr>
        <w:spacing w:before="0" w:after="0"/>
        <w:jc w:val="left"/>
      </w:pPr>
      <w:r>
        <w:rPr>
          <w:rFonts w:ascii="Times New Roman" w:hAnsi="Times New Roman"/>
          <w:b w:val="false"/>
          <w:i w:val="false"/>
          <w:color w:val="000000"/>
          <w:sz w:val="22"/>
        </w:rPr>
        <w:t>11家广电上市公司：2024年合计营收</w:t>
      </w:r>
      <w:r>
        <w:rPr>
          <w:rFonts w:ascii="Times New Roman" w:hAnsi="Times New Roman"/>
          <w:b/>
          <w:i w:val="false"/>
          <w:color w:val="000000"/>
          <w:sz w:val="22"/>
        </w:rPr>
        <w:t>406.65亿元，yoy -3.7%</w:t>
      </w:r>
      <w:r>
        <w:rPr>
          <w:rFonts w:ascii="Times New Roman" w:hAnsi="Times New Roman"/>
          <w:b w:val="false"/>
          <w:i w:val="false"/>
          <w:color w:val="000000"/>
          <w:sz w:val="22"/>
        </w:rPr>
        <w:t>；合计归母净利**-26.94亿元**；2025Q1合计营收</w:t>
      </w:r>
      <w:r>
        <w:rPr>
          <w:rFonts w:ascii="Times New Roman" w:hAnsi="Times New Roman"/>
          <w:b/>
          <w:i w:val="false"/>
          <w:color w:val="000000"/>
          <w:sz w:val="22"/>
        </w:rPr>
        <w:t>89.36亿元</w:t>
      </w:r>
      <w:r>
        <w:rPr>
          <w:rFonts w:ascii="Times New Roman" w:hAnsi="Times New Roman"/>
          <w:b w:val="false"/>
          <w:i w:val="false"/>
          <w:color w:val="000000"/>
          <w:sz w:val="22"/>
        </w:rPr>
        <w:t>，合计净利**-4.45亿元**。</w:t>
      </w:r>
    </w:p>
    <w:p>
      <w:pPr>
        <w:numPr>
          <w:ilvl w:val="0"/>
          <w:numId w:val="2"/>
        </w:numPr>
        <w:spacing w:before="0" w:after="0"/>
        <w:jc w:val="left"/>
      </w:pPr>
      <w:r>
        <w:rPr>
          <w:rFonts w:ascii="Times New Roman" w:hAnsi="Times New Roman"/>
          <w:b w:val="false"/>
          <w:i w:val="false"/>
          <w:color w:val="000000"/>
          <w:sz w:val="22"/>
        </w:rPr>
        <w:t>2024H1合计营收</w:t>
      </w:r>
      <w:r>
        <w:rPr>
          <w:rFonts w:ascii="Times New Roman" w:hAnsi="Times New Roman"/>
          <w:b/>
          <w:i w:val="false"/>
          <w:color w:val="000000"/>
          <w:sz w:val="22"/>
        </w:rPr>
        <w:t>191.83亿元，yoy -6.9%</w:t>
      </w:r>
      <w:r>
        <w:rPr>
          <w:rFonts w:ascii="Times New Roman" w:hAnsi="Times New Roman"/>
          <w:b w:val="false"/>
          <w:i w:val="false"/>
          <w:color w:val="000000"/>
          <w:sz w:val="22"/>
        </w:rPr>
        <w:t>；合计归母净利**-7.39亿元**（由盈转亏）。</w:t>
      </w:r>
    </w:p>
    <w:p>
      <w:pPr>
        <w:numPr>
          <w:ilvl w:val="0"/>
          <w:numId w:val="2"/>
        </w:numPr>
        <w:spacing w:before="0" w:after="0"/>
        <w:jc w:val="left"/>
      </w:pPr>
      <w:r>
        <w:rPr>
          <w:rFonts w:ascii="Times New Roman" w:hAnsi="Times New Roman"/>
          <w:b/>
          <w:i w:val="false"/>
          <w:color w:val="000000"/>
          <w:sz w:val="22"/>
        </w:rPr>
        <w:t>2025年与2026年行业展望（定性）</w:t>
      </w:r>
    </w:p>
    <w:p>
      <w:pPr>
        <w:numPr>
          <w:ilvl w:val="0"/>
          <w:numId w:val="2"/>
        </w:numPr>
        <w:spacing w:before="0" w:after="0"/>
        <w:jc w:val="left"/>
      </w:pPr>
      <w:r>
        <w:rPr>
          <w:rFonts w:ascii="Times New Roman" w:hAnsi="Times New Roman"/>
          <w:b w:val="false"/>
          <w:i w:val="false"/>
          <w:color w:val="000000"/>
          <w:sz w:val="22"/>
        </w:rPr>
        <w:t>监管持续推进（治理“套娃”、大屏规范），牌照价值凸显，头部牌照商（新媒股份/芒果超媒）有望受益，</w:t>
      </w:r>
      <w:r>
        <w:rPr>
          <w:rFonts w:ascii="Times New Roman" w:hAnsi="Times New Roman"/>
          <w:b/>
          <w:i w:val="false"/>
          <w:color w:val="000000"/>
          <w:sz w:val="22"/>
        </w:rPr>
        <w:t>大屏端存在提价空间</w:t>
      </w:r>
      <w:r>
        <w:rPr>
          <w:rFonts w:ascii="Times New Roman" w:hAnsi="Times New Roman"/>
          <w:b w:val="false"/>
          <w:i w:val="false"/>
          <w:color w:val="000000"/>
          <w:sz w:val="22"/>
        </w:rPr>
        <w:t>。</w:t>
      </w:r>
    </w:p>
    <w:p>
      <w:pPr>
        <w:numPr>
          <w:ilvl w:val="0"/>
          <w:numId w:val="2"/>
        </w:numPr>
        <w:spacing w:before="0" w:after="0"/>
        <w:jc w:val="left"/>
      </w:pPr>
      <w:r>
        <w:rPr>
          <w:rFonts w:ascii="Times New Roman" w:hAnsi="Times New Roman"/>
          <w:b w:val="false"/>
          <w:i w:val="false"/>
          <w:color w:val="000000"/>
          <w:sz w:val="22"/>
        </w:rPr>
        <w:t>IPTV用户数环比略增但渗透率下降，OTT大屏流量节点型波动，预计2025年随头部内容与超大屏普及，</w:t>
      </w:r>
      <w:r>
        <w:rPr>
          <w:rFonts w:ascii="Times New Roman" w:hAnsi="Times New Roman"/>
          <w:b/>
          <w:i w:val="false"/>
          <w:color w:val="000000"/>
          <w:sz w:val="22"/>
        </w:rPr>
        <w:t>大屏流量有望增长</w:t>
      </w:r>
      <w:r>
        <w:rPr>
          <w:rFonts w:ascii="Times New Roman" w:hAnsi="Times New Roman"/>
          <w:b w:val="false"/>
          <w:i w:val="false"/>
          <w:color w:val="000000"/>
          <w:sz w:val="22"/>
        </w:rPr>
        <w:t>。</w:t>
      </w:r>
    </w:p>
    <w:p>
      <w:pPr>
        <w:numPr>
          <w:ilvl w:val="0"/>
          <w:numId w:val="2"/>
        </w:numPr>
        <w:spacing w:before="0" w:after="0"/>
        <w:jc w:val="left"/>
      </w:pPr>
      <w:r>
        <w:rPr>
          <w:rFonts w:ascii="Times New Roman" w:hAnsi="Times New Roman"/>
          <w:b w:val="false"/>
          <w:i w:val="false"/>
          <w:color w:val="000000"/>
          <w:sz w:val="22"/>
        </w:rPr>
        <w:t>电视广播板块收入/盈利仍在低位磨底，拐点节奏视规范落地与5G/一网整合推进，2025年整体或趋稳，2026年有望随供给侧出清与规范化深化，利润修复空间扩大（定性判断，资料未提供数值）。</w:t>
      </w:r>
    </w:p>
    <w:p>
      <w:pPr>
        <w:numPr>
          <w:ilvl w:val="0"/>
          <w:numId w:val="2"/>
        </w:numPr>
        <w:spacing w:before="0" w:after="0"/>
        <w:jc w:val="left"/>
      </w:pPr>
      <w:r>
        <w:rPr>
          <w:rFonts w:ascii="Times New Roman" w:hAnsi="Times New Roman"/>
          <w:b/>
          <w:i w:val="false"/>
          <w:color w:val="000000"/>
          <w:sz w:val="22"/>
        </w:rPr>
        <w:t>海外出口数据</w:t>
      </w:r>
    </w:p>
    <w:p>
      <w:pPr>
        <w:numPr>
          <w:ilvl w:val="0"/>
          <w:numId w:val="2"/>
        </w:numPr>
        <w:spacing w:before="0" w:after="0"/>
        <w:jc w:val="left"/>
      </w:pPr>
      <w:r>
        <w:rPr>
          <w:rFonts w:ascii="Times New Roman" w:hAnsi="Times New Roman"/>
          <w:b w:val="false"/>
          <w:i w:val="false"/>
          <w:color w:val="000000"/>
          <w:sz w:val="22"/>
        </w:rPr>
        <w:t>参考资料未披露广电/有线运营层面的海外出口统计，暂无可引用的对外销售额与同比增速数据。</w:t>
      </w:r>
    </w:p>
    <w:p>
      <w:pPr>
        <w:spacing w:before="269" w:after="269"/>
        <w:ind w:left="120"/>
        <w:jc w:val="left"/>
      </w:pPr>
      <w:r>
        <w:drawing>
          <wp:inline distT="0" distB="0" distL="0" distR="0">
            <wp:extent cx="5732145" cy="3796399"/>
            <wp:effectExtent l="0" t="0" r="0" b="0"/>
            <wp:docPr id="3" name="" descr=""/>
            <wp:cNvGraphicFramePr>
              <a:graphicFrameLocks noChangeAspect="true"/>
            </wp:cNvGraphicFramePr>
            <a:graphic>
              <a:graphicData uri="http://schemas.openxmlformats.org/drawingml/2006/picture">
                <pic:pic>
                  <pic:nvPicPr>
                    <pic:cNvPr id="1" name=""/>
                    <pic:cNvPicPr/>
                  </pic:nvPicPr>
                  <pic:blipFill>
                    <a:blip r:embed="rId5"/>
                    <a:stretch>
                      <a:fillRect/>
                    </a:stretch>
                  </pic:blipFill>
                  <pic:spPr>
                    <a:xfrm>
                      <a:off x="0" y="0"/>
                      <a:ext cx="5732145" cy="3796399"/>
                    </a:xfrm>
                    <a:prstGeom prst="rect">
                      <a:avLst/>
                    </a:prstGeom>
                  </pic:spPr>
                </pic:pic>
              </a:graphicData>
            </a:graphic>
          </wp:inline>
        </w:drawing>
      </w:r>
    </w:p>
    <w:p>
      <w:pPr>
        <w:spacing w:before="180" w:after="180"/>
        <w:ind w:left="120"/>
        <w:jc w:val="left"/>
      </w:pPr>
      <w:r>
        <w:rPr>
          <w:rFonts w:ascii="Times New Roman" w:hAnsi="Times New Roman"/>
          <w:b/>
          <w:i w:val="false"/>
          <w:color w:val="000000"/>
          <w:sz w:val="33"/>
        </w:rPr>
        <w:t>2. 竞争格局与竞争对手（国内/国际）</w:t>
      </w:r>
    </w:p>
    <w:p>
      <w:pPr>
        <w:numPr>
          <w:ilvl w:val="0"/>
          <w:numId w:val="3"/>
        </w:numPr>
        <w:spacing w:before="0" w:after="0"/>
        <w:jc w:val="left"/>
      </w:pPr>
      <w:r>
        <w:rPr>
          <w:rFonts w:ascii="Times New Roman" w:hAnsi="Times New Roman"/>
          <w:b/>
          <w:i w:val="false"/>
          <w:color w:val="000000"/>
          <w:sz w:val="22"/>
        </w:rPr>
        <w:t>国内运营侧（省网/广电系）</w:t>
      </w:r>
    </w:p>
    <w:p>
      <w:pPr>
        <w:numPr>
          <w:ilvl w:val="0"/>
          <w:numId w:val="3"/>
        </w:numPr>
        <w:spacing w:before="0" w:after="0"/>
        <w:jc w:val="left"/>
      </w:pPr>
      <w:r>
        <w:rPr>
          <w:rFonts w:ascii="Times New Roman" w:hAnsi="Times New Roman"/>
          <w:b w:val="false"/>
          <w:i w:val="false"/>
          <w:color w:val="000000"/>
          <w:sz w:val="22"/>
        </w:rPr>
        <w:t>板块主要上市对手：华数传媒、江苏有线、东方明珠、电广传媒、歌华有线、吉视传媒、贵广网络、湖北广电、广电网络、广西广电、天威视讯、流金科技等；2024年多数公司收入下滑、盈利承压，个别公司实现小幅增长。</w:t>
      </w:r>
    </w:p>
    <w:p>
      <w:pPr>
        <w:numPr>
          <w:ilvl w:val="0"/>
          <w:numId w:val="3"/>
        </w:numPr>
        <w:spacing w:before="0" w:after="0"/>
        <w:jc w:val="left"/>
      </w:pPr>
      <w:r>
        <w:rPr>
          <w:rFonts w:ascii="Times New Roman" w:hAnsi="Times New Roman"/>
          <w:b w:val="false"/>
          <w:i w:val="false"/>
          <w:color w:val="000000"/>
          <w:sz w:val="22"/>
        </w:rPr>
        <w:t>市占率口径未统一披露；从2024收入规模看，华数传媒、江苏有线、东方明珠为第一梯队，区域性省网公司分化显著。</w:t>
      </w:r>
    </w:p>
    <w:p>
      <w:pPr>
        <w:numPr>
          <w:ilvl w:val="0"/>
          <w:numId w:val="3"/>
        </w:numPr>
        <w:spacing w:before="0" w:after="0"/>
        <w:jc w:val="left"/>
      </w:pPr>
      <w:r>
        <w:rPr>
          <w:rFonts w:ascii="Times New Roman" w:hAnsi="Times New Roman"/>
          <w:b/>
          <w:i w:val="false"/>
          <w:color w:val="000000"/>
          <w:sz w:val="22"/>
        </w:rPr>
        <w:t>大屏内容与牌照方（集成播控/平台侧）</w:t>
      </w:r>
    </w:p>
    <w:p>
      <w:pPr>
        <w:numPr>
          <w:ilvl w:val="0"/>
          <w:numId w:val="3"/>
        </w:numPr>
        <w:spacing w:before="0" w:after="0"/>
        <w:jc w:val="left"/>
      </w:pPr>
      <w:r>
        <w:rPr>
          <w:rFonts w:ascii="Times New Roman" w:hAnsi="Times New Roman"/>
          <w:b w:val="false"/>
          <w:i w:val="false"/>
          <w:color w:val="000000"/>
          <w:sz w:val="22"/>
        </w:rPr>
        <w:t>大屏端格局与小屏类似，</w:t>
      </w:r>
      <w:r>
        <w:rPr>
          <w:rFonts w:ascii="Times New Roman" w:hAnsi="Times New Roman"/>
          <w:b/>
          <w:i w:val="false"/>
          <w:color w:val="000000"/>
          <w:sz w:val="22"/>
        </w:rPr>
        <w:t>爱奇艺（银河奇异果）、腾讯视频（云视听极光）、优酷（CIBN酷喵）稳居第一梯队</w:t>
      </w:r>
      <w:r>
        <w:rPr>
          <w:rFonts w:ascii="Times New Roman" w:hAnsi="Times New Roman"/>
          <w:b w:val="false"/>
          <w:i w:val="false"/>
          <w:color w:val="000000"/>
          <w:sz w:val="22"/>
        </w:rPr>
        <w:t>；芒果TV、哔哩哔哩（云视听小电视）、华数鲜时光位居其后，MAU增速趋稳。</w:t>
      </w:r>
    </w:p>
    <w:p>
      <w:pPr>
        <w:numPr>
          <w:ilvl w:val="0"/>
          <w:numId w:val="3"/>
        </w:numPr>
        <w:spacing w:before="0" w:after="0"/>
        <w:jc w:val="left"/>
      </w:pPr>
      <w:r>
        <w:rPr>
          <w:rFonts w:ascii="Times New Roman" w:hAnsi="Times New Roman"/>
          <w:b w:val="false"/>
          <w:i w:val="false"/>
          <w:color w:val="000000"/>
          <w:sz w:val="22"/>
        </w:rPr>
        <w:t>终端规范整改后，</w:t>
      </w:r>
      <w:r>
        <w:rPr>
          <w:rFonts w:ascii="Times New Roman" w:hAnsi="Times New Roman"/>
          <w:b/>
          <w:i w:val="false"/>
          <w:color w:val="000000"/>
          <w:sz w:val="22"/>
        </w:rPr>
        <w:t>牌照价值凸显</w:t>
      </w:r>
      <w:r>
        <w:rPr>
          <w:rFonts w:ascii="Times New Roman" w:hAnsi="Times New Roman"/>
          <w:b w:val="false"/>
          <w:i w:val="false"/>
          <w:color w:val="000000"/>
          <w:sz w:val="22"/>
        </w:rPr>
        <w:t>，新媒股份（云视听系列）、芒果超媒（芒果TV）有望扩大用户份额并提升盈利水平。</w:t>
      </w:r>
    </w:p>
    <w:p>
      <w:pPr>
        <w:numPr>
          <w:ilvl w:val="0"/>
          <w:numId w:val="3"/>
        </w:numPr>
        <w:spacing w:before="0" w:after="0"/>
        <w:jc w:val="left"/>
      </w:pPr>
      <w:r>
        <w:rPr>
          <w:rFonts w:ascii="Times New Roman" w:hAnsi="Times New Roman"/>
          <w:b/>
          <w:i w:val="false"/>
          <w:color w:val="000000"/>
          <w:sz w:val="22"/>
        </w:rPr>
        <w:t>国际维度</w:t>
      </w:r>
    </w:p>
    <w:p>
      <w:pPr>
        <w:numPr>
          <w:ilvl w:val="0"/>
          <w:numId w:val="3"/>
        </w:numPr>
        <w:spacing w:before="0" w:after="0"/>
        <w:jc w:val="left"/>
      </w:pPr>
      <w:r>
        <w:rPr>
          <w:rFonts w:ascii="Times New Roman" w:hAnsi="Times New Roman"/>
          <w:b w:val="false"/>
          <w:i w:val="false"/>
          <w:color w:val="000000"/>
          <w:sz w:val="22"/>
        </w:rPr>
        <w:t>参考信息以国内为主，未披露国际广电/有线运营商市占率对比；行业全球层面更多聚焦互联网视频与CTV广告迁移，但非本地广电可比口径。</w:t>
      </w:r>
    </w:p>
    <w:p>
      <w:pPr>
        <w:spacing w:before="180" w:after="180"/>
        <w:ind w:left="120"/>
        <w:jc w:val="left"/>
      </w:pPr>
      <w:r>
        <w:rPr>
          <w:rFonts w:ascii="Times New Roman" w:hAnsi="Times New Roman"/>
          <w:b/>
          <w:i w:val="false"/>
          <w:color w:val="000000"/>
          <w:sz w:val="33"/>
        </w:rPr>
        <w:t>3. 供需、产能与价格趋势（边际变化）</w:t>
      </w:r>
    </w:p>
    <w:p>
      <w:pPr>
        <w:numPr>
          <w:ilvl w:val="0"/>
          <w:numId w:val="4"/>
        </w:numPr>
        <w:spacing w:before="0" w:after="0"/>
        <w:jc w:val="left"/>
      </w:pPr>
      <w:r>
        <w:rPr>
          <w:rFonts w:ascii="Times New Roman" w:hAnsi="Times New Roman"/>
          <w:b/>
          <w:i w:val="false"/>
          <w:color w:val="000000"/>
          <w:sz w:val="22"/>
        </w:rPr>
        <w:t>需求侧</w:t>
      </w:r>
    </w:p>
    <w:p>
      <w:pPr>
        <w:numPr>
          <w:ilvl w:val="0"/>
          <w:numId w:val="4"/>
        </w:numPr>
        <w:spacing w:before="0" w:after="0"/>
        <w:jc w:val="left"/>
      </w:pPr>
      <w:r>
        <w:rPr>
          <w:rFonts w:ascii="Times New Roman" w:hAnsi="Times New Roman"/>
          <w:b w:val="false"/>
          <w:i w:val="false"/>
          <w:color w:val="000000"/>
          <w:sz w:val="22"/>
        </w:rPr>
        <w:t>有线电视用户自2019年以来下滑，2024H1达</w:t>
      </w:r>
      <w:r>
        <w:rPr>
          <w:rFonts w:ascii="Times New Roman" w:hAnsi="Times New Roman"/>
          <w:b/>
          <w:i w:val="false"/>
          <w:color w:val="000000"/>
          <w:sz w:val="22"/>
        </w:rPr>
        <w:t>2.08亿户</w:t>
      </w:r>
      <w:r>
        <w:rPr>
          <w:rFonts w:ascii="Times New Roman" w:hAnsi="Times New Roman"/>
          <w:b w:val="false"/>
          <w:i w:val="false"/>
          <w:color w:val="000000"/>
          <w:sz w:val="22"/>
        </w:rPr>
        <w:t>较23年底回升约600万，治理“套娃”收费与大屏开机体验优化提升回流与收视。</w:t>
      </w:r>
    </w:p>
    <w:p>
      <w:pPr>
        <w:numPr>
          <w:ilvl w:val="0"/>
          <w:numId w:val="4"/>
        </w:numPr>
        <w:spacing w:before="0" w:after="0"/>
        <w:jc w:val="left"/>
      </w:pPr>
      <w:r>
        <w:rPr>
          <w:rFonts w:ascii="Times New Roman" w:hAnsi="Times New Roman"/>
          <w:b w:val="false"/>
          <w:i w:val="false"/>
          <w:color w:val="000000"/>
          <w:sz w:val="22"/>
        </w:rPr>
        <w:t>IPTV用户数增长放缓、渗透率下降；OTT大屏端月活率在春节/奥运会等节点上行，</w:t>
      </w:r>
      <w:r>
        <w:rPr>
          <w:rFonts w:ascii="Times New Roman" w:hAnsi="Times New Roman"/>
          <w:b/>
          <w:i w:val="false"/>
          <w:color w:val="000000"/>
          <w:sz w:val="22"/>
        </w:rPr>
        <w:t>大屏内容消费呈节点性提振</w:t>
      </w:r>
      <w:r>
        <w:rPr>
          <w:rFonts w:ascii="Times New Roman" w:hAnsi="Times New Roman"/>
          <w:b w:val="false"/>
          <w:i w:val="false"/>
          <w:color w:val="000000"/>
          <w:sz w:val="22"/>
        </w:rPr>
        <w:t>。</w:t>
      </w:r>
    </w:p>
    <w:p>
      <w:pPr>
        <w:numPr>
          <w:ilvl w:val="0"/>
          <w:numId w:val="4"/>
        </w:numPr>
        <w:spacing w:before="0" w:after="0"/>
        <w:jc w:val="left"/>
      </w:pPr>
      <w:r>
        <w:rPr>
          <w:rFonts w:ascii="Times New Roman" w:hAnsi="Times New Roman"/>
          <w:b/>
          <w:i w:val="false"/>
          <w:color w:val="000000"/>
          <w:sz w:val="22"/>
        </w:rPr>
        <w:t>供给侧/“产能”类表述（网络能力/内容供给）</w:t>
      </w:r>
    </w:p>
    <w:p>
      <w:pPr>
        <w:numPr>
          <w:ilvl w:val="0"/>
          <w:numId w:val="4"/>
        </w:numPr>
        <w:spacing w:before="0" w:after="0"/>
        <w:jc w:val="left"/>
      </w:pPr>
      <w:r>
        <w:rPr>
          <w:rFonts w:ascii="Times New Roman" w:hAnsi="Times New Roman"/>
          <w:b w:val="false"/>
          <w:i w:val="false"/>
          <w:color w:val="000000"/>
          <w:sz w:val="22"/>
        </w:rPr>
        <w:t>2024-2025年监管明确终端与业务标准（开机时长/广告/会员计费等），</w:t>
      </w:r>
      <w:r>
        <w:rPr>
          <w:rFonts w:ascii="Times New Roman" w:hAnsi="Times New Roman"/>
          <w:b/>
          <w:i w:val="false"/>
          <w:color w:val="000000"/>
          <w:sz w:val="22"/>
        </w:rPr>
        <w:t>供给侧规范化</w:t>
      </w:r>
      <w:r>
        <w:rPr>
          <w:rFonts w:ascii="Times New Roman" w:hAnsi="Times New Roman"/>
          <w:b w:val="false"/>
          <w:i w:val="false"/>
          <w:color w:val="000000"/>
          <w:sz w:val="22"/>
        </w:rPr>
        <w:t>抬升合规牌照与头部内容的议价力；4K/超大屏普及提升网络与内容“供给质量”。</w:t>
      </w:r>
    </w:p>
    <w:p>
      <w:pPr>
        <w:numPr>
          <w:ilvl w:val="0"/>
          <w:numId w:val="4"/>
        </w:numPr>
        <w:spacing w:before="0" w:after="0"/>
        <w:jc w:val="left"/>
      </w:pPr>
      <w:r>
        <w:rPr>
          <w:rFonts w:ascii="Times New Roman" w:hAnsi="Times New Roman"/>
          <w:b w:val="false"/>
          <w:i w:val="false"/>
          <w:color w:val="000000"/>
          <w:sz w:val="22"/>
        </w:rPr>
        <w:t>“一网整合+广电5G”持续推进，行业供给结构从分散走向标准化与协同，利于效率提升与成本下行（中长期）。</w:t>
      </w:r>
    </w:p>
    <w:p>
      <w:pPr>
        <w:numPr>
          <w:ilvl w:val="0"/>
          <w:numId w:val="4"/>
        </w:numPr>
        <w:spacing w:before="0" w:after="0"/>
        <w:jc w:val="left"/>
      </w:pPr>
      <w:r>
        <w:rPr>
          <w:rFonts w:ascii="Times New Roman" w:hAnsi="Times New Roman"/>
          <w:b/>
          <w:i w:val="false"/>
          <w:color w:val="000000"/>
          <w:sz w:val="22"/>
        </w:rPr>
        <w:t>价格趋势</w:t>
      </w:r>
    </w:p>
    <w:p>
      <w:pPr>
        <w:numPr>
          <w:ilvl w:val="0"/>
          <w:numId w:val="4"/>
        </w:numPr>
        <w:spacing w:before="0" w:after="0"/>
        <w:jc w:val="left"/>
      </w:pPr>
      <w:r>
        <w:rPr>
          <w:rFonts w:ascii="Times New Roman" w:hAnsi="Times New Roman"/>
          <w:b w:val="false"/>
          <w:i w:val="false"/>
          <w:color w:val="000000"/>
          <w:sz w:val="22"/>
        </w:rPr>
        <w:t>多平台会员提价案例增多，卖方判断</w:t>
      </w:r>
      <w:r>
        <w:rPr>
          <w:rFonts w:ascii="Times New Roman" w:hAnsi="Times New Roman"/>
          <w:b/>
          <w:i w:val="false"/>
          <w:color w:val="000000"/>
          <w:sz w:val="22"/>
        </w:rPr>
        <w:t>大屏端存在进一步提价空间</w:t>
      </w:r>
      <w:r>
        <w:rPr>
          <w:rFonts w:ascii="Times New Roman" w:hAnsi="Times New Roman"/>
          <w:b w:val="false"/>
          <w:i w:val="false"/>
          <w:color w:val="000000"/>
          <w:sz w:val="22"/>
        </w:rPr>
        <w:t>，有利头部牌照商的ARPU修复；但对传统有线的基础收视价格影响有限，仍取决于本地竞争与捆绑策略。</w:t>
      </w:r>
    </w:p>
    <w:p>
      <w:pPr>
        <w:spacing w:before="180" w:after="180"/>
        <w:ind w:left="120"/>
        <w:jc w:val="left"/>
      </w:pPr>
      <w:r>
        <w:rPr>
          <w:rFonts w:ascii="Times New Roman" w:hAnsi="Times New Roman"/>
          <w:b/>
          <w:i w:val="false"/>
          <w:color w:val="000000"/>
          <w:sz w:val="33"/>
        </w:rPr>
        <w:t>4. 行业未来发展的核心逻辑</w:t>
      </w:r>
    </w:p>
    <w:p>
      <w:pPr>
        <w:numPr>
          <w:ilvl w:val="0"/>
          <w:numId w:val="5"/>
        </w:numPr>
        <w:spacing w:before="0" w:after="0"/>
        <w:jc w:val="left"/>
      </w:pPr>
      <w:r>
        <w:rPr>
          <w:rFonts w:ascii="Times New Roman" w:hAnsi="Times New Roman"/>
          <w:b/>
          <w:i w:val="false"/>
          <w:color w:val="000000"/>
          <w:sz w:val="22"/>
        </w:rPr>
        <w:t>监管规范持续推进</w:t>
      </w:r>
      <w:r>
        <w:rPr>
          <w:rFonts w:ascii="Times New Roman" w:hAnsi="Times New Roman"/>
          <w:b w:val="false"/>
          <w:i w:val="false"/>
          <w:color w:val="000000"/>
          <w:sz w:val="22"/>
        </w:rPr>
        <w:t>：套娃治理、EPG与付费透明、终端标准统一，提升用户体验、促使用户回流，大屏价值重估。</w:t>
      </w:r>
    </w:p>
    <w:p>
      <w:pPr>
        <w:numPr>
          <w:ilvl w:val="0"/>
          <w:numId w:val="5"/>
        </w:numPr>
        <w:spacing w:before="0" w:after="0"/>
        <w:jc w:val="left"/>
      </w:pPr>
      <w:r>
        <w:rPr>
          <w:rFonts w:ascii="Times New Roman" w:hAnsi="Times New Roman"/>
          <w:b/>
          <w:i w:val="false"/>
          <w:color w:val="000000"/>
          <w:sz w:val="22"/>
        </w:rPr>
        <w:t>牌照价值凸显+平台内容升级</w:t>
      </w:r>
      <w:r>
        <w:rPr>
          <w:rFonts w:ascii="Times New Roman" w:hAnsi="Times New Roman"/>
          <w:b w:val="false"/>
          <w:i w:val="false"/>
          <w:color w:val="000000"/>
          <w:sz w:val="22"/>
        </w:rPr>
        <w:t>：集成播控与头部长视频平台协同，精品内容与4K/超大屏硬件普及，带动大屏流量与付费率提升。</w:t>
      </w:r>
    </w:p>
    <w:p>
      <w:pPr>
        <w:numPr>
          <w:ilvl w:val="0"/>
          <w:numId w:val="5"/>
        </w:numPr>
        <w:spacing w:before="0" w:after="0"/>
        <w:jc w:val="left"/>
      </w:pPr>
      <w:r>
        <w:rPr>
          <w:rFonts w:ascii="Times New Roman" w:hAnsi="Times New Roman"/>
          <w:b/>
          <w:i w:val="false"/>
          <w:color w:val="000000"/>
          <w:sz w:val="22"/>
        </w:rPr>
        <w:t>一网整合与广电5G融合</w:t>
      </w:r>
      <w:r>
        <w:rPr>
          <w:rFonts w:ascii="Times New Roman" w:hAnsi="Times New Roman"/>
          <w:b w:val="false"/>
          <w:i w:val="false"/>
          <w:color w:val="000000"/>
          <w:sz w:val="22"/>
        </w:rPr>
        <w:t>：全国一网与700MHz 5G协同推进，夯实基础网络“产能”，有望在专网、应急广播等政企业务场景拓展增量。</w:t>
      </w:r>
    </w:p>
    <w:p>
      <w:pPr>
        <w:numPr>
          <w:ilvl w:val="0"/>
          <w:numId w:val="5"/>
        </w:numPr>
        <w:spacing w:before="0" w:after="0"/>
        <w:jc w:val="left"/>
      </w:pPr>
      <w:r>
        <w:rPr>
          <w:rFonts w:ascii="Times New Roman" w:hAnsi="Times New Roman"/>
          <w:b/>
          <w:i w:val="false"/>
          <w:color w:val="000000"/>
          <w:sz w:val="22"/>
        </w:rPr>
        <w:t>AI赋能与商业模式多元化</w:t>
      </w:r>
      <w:r>
        <w:rPr>
          <w:rFonts w:ascii="Times New Roman" w:hAnsi="Times New Roman"/>
          <w:b w:val="false"/>
          <w:i w:val="false"/>
          <w:color w:val="000000"/>
          <w:sz w:val="22"/>
        </w:rPr>
        <w:t>：AIGC/智能推荐/广告技术提效，探索大屏广告、电商与本地生活等多元变现路径（机会偏向牌照商与平台方）。</w:t>
      </w:r>
    </w:p>
    <w:p>
      <w:pPr>
        <w:spacing w:before="180" w:after="180"/>
        <w:ind w:left="120"/>
        <w:jc w:val="left"/>
      </w:pPr>
      <w:r>
        <w:rPr>
          <w:rFonts w:ascii="Times New Roman" w:hAnsi="Times New Roman"/>
          <w:b/>
          <w:i w:val="false"/>
          <w:color w:val="000000"/>
          <w:sz w:val="33"/>
        </w:rPr>
        <w:t>5. 广西广电：最新季报、业务线与管理层预期</w:t>
      </w:r>
    </w:p>
    <w:p>
      <w:pPr>
        <w:numPr>
          <w:ilvl w:val="0"/>
          <w:numId w:val="6"/>
        </w:numPr>
        <w:spacing w:before="0" w:after="0"/>
        <w:jc w:val="left"/>
      </w:pPr>
      <w:r>
        <w:rPr>
          <w:rFonts w:ascii="Times New Roman" w:hAnsi="Times New Roman"/>
          <w:b/>
          <w:i w:val="false"/>
          <w:color w:val="000000"/>
          <w:sz w:val="22"/>
        </w:rPr>
        <w:t>最新财务概览</w:t>
      </w:r>
    </w:p>
    <w:p>
      <w:pPr>
        <w:numPr>
          <w:ilvl w:val="0"/>
          <w:numId w:val="6"/>
        </w:numPr>
        <w:spacing w:before="0" w:after="0"/>
        <w:jc w:val="left"/>
      </w:pPr>
      <w:r>
        <w:rPr>
          <w:rFonts w:ascii="Times New Roman" w:hAnsi="Times New Roman"/>
          <w:b w:val="false"/>
          <w:i w:val="false"/>
          <w:color w:val="000000"/>
          <w:sz w:val="22"/>
        </w:rPr>
        <w:t>2024年：营收</w:t>
      </w:r>
      <w:r>
        <w:rPr>
          <w:rFonts w:ascii="Times New Roman" w:hAnsi="Times New Roman"/>
          <w:b/>
          <w:i w:val="false"/>
          <w:color w:val="000000"/>
          <w:sz w:val="22"/>
        </w:rPr>
        <w:t>13.59亿元</w:t>
      </w:r>
      <w:r>
        <w:rPr>
          <w:rFonts w:ascii="Times New Roman" w:hAnsi="Times New Roman"/>
          <w:b w:val="false"/>
          <w:i w:val="false"/>
          <w:color w:val="000000"/>
          <w:sz w:val="22"/>
        </w:rPr>
        <w:t>，归母净利**-8.83亿元**；系板块竞争加剧、电视大屏需求减弱、政企业务收入下降、财务费用上升等多因素所致。</w:t>
      </w:r>
    </w:p>
    <w:p>
      <w:pPr>
        <w:numPr>
          <w:ilvl w:val="0"/>
          <w:numId w:val="6"/>
        </w:numPr>
        <w:spacing w:before="0" w:after="0"/>
        <w:jc w:val="left"/>
      </w:pPr>
      <w:r>
        <w:rPr>
          <w:rFonts w:ascii="Times New Roman" w:hAnsi="Times New Roman"/>
          <w:b w:val="false"/>
          <w:i w:val="false"/>
          <w:color w:val="000000"/>
          <w:sz w:val="22"/>
        </w:rPr>
        <w:t>2025Q1：营收</w:t>
      </w:r>
      <w:r>
        <w:rPr>
          <w:rFonts w:ascii="Times New Roman" w:hAnsi="Times New Roman"/>
          <w:b/>
          <w:i w:val="false"/>
          <w:color w:val="000000"/>
          <w:sz w:val="22"/>
        </w:rPr>
        <w:t>2.623亿元</w:t>
      </w:r>
      <w:r>
        <w:rPr>
          <w:rFonts w:ascii="Times New Roman" w:hAnsi="Times New Roman"/>
          <w:b w:val="false"/>
          <w:i w:val="false"/>
          <w:color w:val="000000"/>
          <w:sz w:val="22"/>
        </w:rPr>
        <w:t>（yoy -5.78%）、归母净利**-1.981亿元**，经营性现金流净额**-1.126亿元**，净资产</w:t>
      </w:r>
      <w:r>
        <w:rPr>
          <w:rFonts w:ascii="Times New Roman" w:hAnsi="Times New Roman"/>
          <w:b/>
          <w:i w:val="false"/>
          <w:color w:val="000000"/>
          <w:sz w:val="22"/>
        </w:rPr>
        <w:t>4.536亿元</w:t>
      </w:r>
      <w:r>
        <w:rPr>
          <w:rFonts w:ascii="Times New Roman" w:hAnsi="Times New Roman"/>
          <w:b w:val="false"/>
          <w:i w:val="false"/>
          <w:color w:val="000000"/>
          <w:sz w:val="22"/>
        </w:rPr>
        <w:t>（较上年末-30.4%）。</w:t>
      </w:r>
    </w:p>
    <w:p>
      <w:pPr>
        <w:numPr>
          <w:ilvl w:val="0"/>
          <w:numId w:val="6"/>
        </w:numPr>
        <w:spacing w:before="0" w:after="0"/>
        <w:jc w:val="left"/>
      </w:pPr>
      <w:r>
        <w:rPr>
          <w:rFonts w:ascii="Times New Roman" w:hAnsi="Times New Roman"/>
          <w:b w:val="false"/>
          <w:i w:val="false"/>
          <w:color w:val="000000"/>
          <w:sz w:val="22"/>
        </w:rPr>
        <w:t>2025年前三季度归母净利季度口径：Q1**-1.981亿元**，Q2**-3.425亿元**，Q3**-3.442亿元**（披露为单季值），亏损延续；同比增速指标口径显示Q3有“改善”，但绝对额仍为亏损，需警惕口径差异。</w:t>
      </w:r>
    </w:p>
    <w:p>
      <w:pPr>
        <w:numPr>
          <w:ilvl w:val="0"/>
          <w:numId w:val="6"/>
        </w:numPr>
        <w:spacing w:before="0" w:after="0"/>
        <w:jc w:val="left"/>
      </w:pPr>
      <w:r>
        <w:rPr>
          <w:rFonts w:ascii="Times New Roman" w:hAnsi="Times New Roman"/>
          <w:b/>
          <w:i w:val="false"/>
          <w:color w:val="000000"/>
          <w:sz w:val="22"/>
        </w:rPr>
        <w:t>重大资产置换与主业切换（2025年）</w:t>
      </w:r>
    </w:p>
    <w:p>
      <w:pPr>
        <w:numPr>
          <w:ilvl w:val="0"/>
          <w:numId w:val="6"/>
        </w:numPr>
        <w:spacing w:before="0" w:after="0"/>
        <w:jc w:val="left"/>
      </w:pPr>
      <w:r>
        <w:rPr>
          <w:rFonts w:ascii="Times New Roman" w:hAnsi="Times New Roman"/>
          <w:b w:val="false"/>
          <w:i w:val="false"/>
          <w:color w:val="000000"/>
          <w:sz w:val="22"/>
        </w:rPr>
        <w:t>方案：以全资子公司“广电科技”100%股权置出，置入北投集团持有的</w:t>
      </w:r>
      <w:r>
        <w:rPr>
          <w:rFonts w:ascii="Times New Roman" w:hAnsi="Times New Roman"/>
          <w:b/>
          <w:i w:val="false"/>
          <w:color w:val="000000"/>
          <w:sz w:val="22"/>
        </w:rPr>
        <w:t>交科集团51%股权</w:t>
      </w:r>
      <w:r>
        <w:rPr>
          <w:rFonts w:ascii="Times New Roman" w:hAnsi="Times New Roman"/>
          <w:b w:val="false"/>
          <w:i w:val="false"/>
          <w:color w:val="000000"/>
          <w:sz w:val="22"/>
        </w:rPr>
        <w:t>；2025年8月底完成交割。</w:t>
      </w:r>
    </w:p>
    <w:p>
      <w:pPr>
        <w:numPr>
          <w:ilvl w:val="0"/>
          <w:numId w:val="6"/>
        </w:numPr>
        <w:spacing w:before="0" w:after="0"/>
        <w:jc w:val="left"/>
      </w:pPr>
      <w:r>
        <w:rPr>
          <w:rFonts w:ascii="Times New Roman" w:hAnsi="Times New Roman"/>
          <w:b w:val="false"/>
          <w:i w:val="false"/>
          <w:color w:val="000000"/>
          <w:sz w:val="22"/>
        </w:rPr>
        <w:t>交易动机：剥离亏损的广电网络资产、置入具备成长性的“数智工程/勘察设计/试验检测/新材料/机电设备”智慧交通资产，</w:t>
      </w:r>
      <w:r>
        <w:rPr>
          <w:rFonts w:ascii="Times New Roman" w:hAnsi="Times New Roman"/>
          <w:b/>
          <w:i w:val="false"/>
          <w:color w:val="000000"/>
          <w:sz w:val="22"/>
        </w:rPr>
        <w:t>改善资产质量与盈利能力</w:t>
      </w:r>
      <w:r>
        <w:rPr>
          <w:rFonts w:ascii="Times New Roman" w:hAnsi="Times New Roman"/>
          <w:b w:val="false"/>
          <w:i w:val="false"/>
          <w:color w:val="000000"/>
          <w:sz w:val="22"/>
        </w:rPr>
        <w:t>。</w:t>
      </w:r>
    </w:p>
    <w:p>
      <w:pPr>
        <w:numPr>
          <w:ilvl w:val="0"/>
          <w:numId w:val="6"/>
        </w:numPr>
        <w:spacing w:before="0" w:after="0"/>
        <w:jc w:val="left"/>
      </w:pPr>
      <w:r>
        <w:rPr>
          <w:rFonts w:ascii="Times New Roman" w:hAnsi="Times New Roman"/>
          <w:b w:val="false"/>
          <w:i w:val="false"/>
          <w:color w:val="000000"/>
          <w:sz w:val="22"/>
        </w:rPr>
        <w:t>交割后：上市公司不再经营广电业务；原广电网络业务由“广电科技”继续运营，用户服务与投诉渠道保持不变。</w:t>
      </w:r>
    </w:p>
    <w:p>
      <w:pPr>
        <w:numPr>
          <w:ilvl w:val="0"/>
          <w:numId w:val="6"/>
        </w:numPr>
        <w:spacing w:before="0" w:after="0"/>
        <w:jc w:val="left"/>
      </w:pPr>
      <w:r>
        <w:rPr>
          <w:rFonts w:ascii="Times New Roman" w:hAnsi="Times New Roman"/>
          <w:b w:val="false"/>
          <w:i w:val="false"/>
          <w:color w:val="000000"/>
          <w:sz w:val="22"/>
        </w:rPr>
        <w:t>管理层口径：本次重组“有望提升归母净利、增强回报股东能力”，后续更名/板块变更将按规则披露，具体订单、产能投放节奏与利润指引未披露量化目标。</w:t>
      </w:r>
    </w:p>
    <w:p>
      <w:pPr>
        <w:numPr>
          <w:ilvl w:val="0"/>
          <w:numId w:val="6"/>
        </w:numPr>
        <w:spacing w:before="0" w:after="0"/>
        <w:jc w:val="left"/>
      </w:pPr>
      <w:r>
        <w:rPr>
          <w:rFonts w:ascii="Times New Roman" w:hAnsi="Times New Roman"/>
          <w:b/>
          <w:i w:val="false"/>
          <w:color w:val="000000"/>
          <w:sz w:val="22"/>
        </w:rPr>
        <w:t>存量广电业务（置出前）经营举措与风险</w:t>
      </w:r>
    </w:p>
    <w:p>
      <w:pPr>
        <w:numPr>
          <w:ilvl w:val="0"/>
          <w:numId w:val="6"/>
        </w:numPr>
        <w:spacing w:before="0" w:after="0"/>
        <w:jc w:val="left"/>
      </w:pPr>
      <w:r>
        <w:rPr>
          <w:rFonts w:ascii="Times New Roman" w:hAnsi="Times New Roman"/>
          <w:b w:val="false"/>
          <w:i w:val="false"/>
          <w:color w:val="000000"/>
          <w:sz w:val="22"/>
        </w:rPr>
        <w:t>成本费用：推进降本控费、组织与薪酬改革，提升人均创效；但政企业务回款不及预期、财务费用上升等仍是主要压力。</w:t>
      </w:r>
    </w:p>
    <w:p>
      <w:pPr>
        <w:numPr>
          <w:ilvl w:val="0"/>
          <w:numId w:val="6"/>
        </w:numPr>
        <w:spacing w:before="0" w:after="0"/>
        <w:jc w:val="left"/>
      </w:pPr>
      <w:r>
        <w:rPr>
          <w:rFonts w:ascii="Times New Roman" w:hAnsi="Times New Roman"/>
          <w:b w:val="false"/>
          <w:i w:val="false"/>
          <w:color w:val="000000"/>
          <w:sz w:val="22"/>
        </w:rPr>
        <w:t>风险提示：用户流失、政企应收回款不及预期、技术迭代带来的投入压力；上述风险在年报与半年报中反复提示。</w:t>
      </w:r>
    </w:p>
    <w:p>
      <w:pPr>
        <w:numPr>
          <w:ilvl w:val="0"/>
          <w:numId w:val="6"/>
        </w:numPr>
        <w:spacing w:before="0" w:after="0"/>
        <w:jc w:val="left"/>
      </w:pPr>
      <w:r>
        <w:rPr>
          <w:rFonts w:ascii="Times New Roman" w:hAnsi="Times New Roman"/>
          <w:b/>
          <w:i w:val="false"/>
          <w:color w:val="000000"/>
          <w:sz w:val="22"/>
        </w:rPr>
        <w:t>分业务线利润与单产品盈利</w:t>
      </w:r>
    </w:p>
    <w:p>
      <w:pPr>
        <w:numPr>
          <w:ilvl w:val="0"/>
          <w:numId w:val="6"/>
        </w:numPr>
        <w:spacing w:before="0" w:after="0"/>
        <w:jc w:val="left"/>
      </w:pPr>
      <w:r>
        <w:rPr>
          <w:rFonts w:ascii="Times New Roman" w:hAnsi="Times New Roman"/>
          <w:b w:val="false"/>
          <w:i w:val="false"/>
          <w:color w:val="000000"/>
          <w:sz w:val="22"/>
        </w:rPr>
        <w:t>参考资料未披露广西广电分业务线的独立利润与单产品盈利变化的量化数据；结合年报/季报信息，仅能确认整体亏损的主要来源包括有线收视收入下滑、政企业务承压与财务费用上升。</w:t>
      </w:r>
    </w:p>
    <w:p>
      <w:pPr>
        <w:spacing w:before="180" w:after="180"/>
        <w:ind w:left="120"/>
        <w:jc w:val="left"/>
      </w:pPr>
      <w:r>
        <w:rPr>
          <w:rFonts w:ascii="Times New Roman" w:hAnsi="Times New Roman"/>
          <w:b/>
          <w:i w:val="false"/>
          <w:color w:val="000000"/>
          <w:sz w:val="33"/>
        </w:rPr>
        <w:t>6. 同业对比与公司相对位置</w:t>
      </w:r>
    </w:p>
    <w:p>
      <w:pPr>
        <w:numPr>
          <w:ilvl w:val="0"/>
          <w:numId w:val="7"/>
        </w:numPr>
        <w:spacing w:before="0" w:after="0"/>
        <w:jc w:val="left"/>
      </w:pPr>
      <w:r>
        <w:rPr>
          <w:rFonts w:ascii="Times New Roman" w:hAnsi="Times New Roman"/>
          <w:b/>
          <w:i w:val="false"/>
          <w:color w:val="000000"/>
          <w:sz w:val="22"/>
        </w:rPr>
        <w:t>同业收入与盈利（2024/2025Q1）</w:t>
      </w:r>
    </w:p>
    <w:p>
      <w:pPr>
        <w:spacing w:before="269" w:after="269"/>
        <w:ind w:left="120"/>
        <w:jc w:val="left"/>
      </w:pPr>
      <w:r>
        <w:rPr>
          <w:rFonts w:ascii="Times New Roman" w:hAnsi="Times New Roman"/>
          <w:b w:val="false"/>
          <w:i w:val="false"/>
          <w:color w:val="000000"/>
          <w:sz w:val="22"/>
        </w:rPr>
        <w:t>表：12家广电上市公司收入与归母净利对比（单位：亿元）</w:t>
      </w:r>
    </w:p>
    <w:tbl>
      <w:tblPr>
        <w:tblW w:w="0" w:type="auto"/>
        <w:tblCellSpacing w:w="0" w:type="auto"/>
        <w:tblInd w:w="115" w:type="dxa"/>
        <w:tblBorders>
          <w:top w:val="single" w:color="aaaaaa" w:sz="8"/>
          <w:left w:val="single" w:color="aaaaaa" w:sz="8"/>
          <w:bottom w:val="single" w:color="aaaaaa" w:sz="8"/>
          <w:right w:val="single" w:color="aaaaaa" w:sz="8"/>
          <w:insideH w:val="none"/>
          <w:insideV w:val="none"/>
        </w:tblBorders>
      </w:tblPr>
      <w:tblGrid>
        <w:gridCol w:w="1025"/>
        <w:gridCol w:w="1360"/>
        <w:gridCol w:w="1577"/>
        <w:gridCol w:w="1453"/>
        <w:gridCol w:w="1578"/>
        <w:gridCol w:w="1695"/>
        <w:gridCol w:w="1578"/>
        <w:gridCol w:w="1789"/>
        <w:gridCol w:w="1579"/>
      </w:tblGrid>
      <w:tr>
        <w:trPr>
          <w:trHeight w:val="525" w:hRule="atLeast"/>
        </w:trPr>
        <w:tc>
          <w:tcPr>
            <w:tcW w:w="1025"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i w:val="false"/>
                <w:color w:val="000000"/>
                <w:sz w:val="22"/>
              </w:rPr>
              <w:t>公司</w:t>
            </w:r>
          </w:p>
        </w:tc>
        <w:tc>
          <w:tcPr>
            <w:tcW w:w="1360"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i w:val="false"/>
                <w:color w:val="000000"/>
                <w:sz w:val="22"/>
              </w:rPr>
              <w:t>2024营收</w:t>
            </w:r>
          </w:p>
        </w:tc>
        <w:tc>
          <w:tcPr>
            <w:tcW w:w="1577"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i w:val="false"/>
                <w:color w:val="000000"/>
                <w:sz w:val="22"/>
              </w:rPr>
              <w:t>同比</w:t>
            </w:r>
          </w:p>
        </w:tc>
        <w:tc>
          <w:tcPr>
            <w:tcW w:w="1453"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i w:val="false"/>
                <w:color w:val="000000"/>
                <w:sz w:val="22"/>
              </w:rPr>
              <w:t>25Q1营收</w:t>
            </w:r>
          </w:p>
        </w:tc>
        <w:tc>
          <w:tcPr>
            <w:tcW w:w="1578"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i w:val="false"/>
                <w:color w:val="000000"/>
                <w:sz w:val="22"/>
              </w:rPr>
              <w:t>同比</w:t>
            </w:r>
          </w:p>
        </w:tc>
        <w:tc>
          <w:tcPr>
            <w:tcW w:w="1695"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i w:val="false"/>
                <w:color w:val="000000"/>
                <w:sz w:val="22"/>
              </w:rPr>
              <w:t>2024归母净利</w:t>
            </w:r>
          </w:p>
        </w:tc>
        <w:tc>
          <w:tcPr>
            <w:tcW w:w="1578"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i w:val="false"/>
                <w:color w:val="000000"/>
                <w:sz w:val="22"/>
              </w:rPr>
              <w:t>同比</w:t>
            </w:r>
          </w:p>
        </w:tc>
        <w:tc>
          <w:tcPr>
            <w:tcW w:w="1789"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i w:val="false"/>
                <w:color w:val="000000"/>
                <w:sz w:val="22"/>
              </w:rPr>
              <w:t>25Q1归母净利</w:t>
            </w:r>
          </w:p>
        </w:tc>
        <w:tc>
          <w:tcPr>
            <w:tcW w:w="1579"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i w:val="false"/>
                <w:color w:val="000000"/>
                <w:sz w:val="22"/>
              </w:rPr>
              <w:t>同比</w:t>
            </w:r>
          </w:p>
        </w:tc>
      </w:tr>
      <w:tr>
        <w:trPr>
          <w:trHeight w:val="510" w:hRule="atLeast"/>
        </w:trPr>
        <w:tc>
          <w:tcPr>
            <w:tcW w:w="1025"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华数传媒</w:t>
            </w:r>
          </w:p>
        </w:tc>
        <w:tc>
          <w:tcPr>
            <w:tcW w:w="1360"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93.95</w:t>
            </w:r>
          </w:p>
        </w:tc>
        <w:tc>
          <w:tcPr>
            <w:tcW w:w="1577"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-3.22%</w:t>
            </w:r>
          </w:p>
        </w:tc>
        <w:tc>
          <w:tcPr>
            <w:tcW w:w="1453"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21.19</w:t>
            </w:r>
          </w:p>
        </w:tc>
        <w:tc>
          <w:tcPr>
            <w:tcW w:w="1578"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+3.62%</w:t>
            </w:r>
          </w:p>
        </w:tc>
        <w:tc>
          <w:tcPr>
            <w:tcW w:w="1695"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5.34</w:t>
            </w:r>
          </w:p>
        </w:tc>
        <w:tc>
          <w:tcPr>
            <w:tcW w:w="1578"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-22.50%</w:t>
            </w:r>
          </w:p>
        </w:tc>
        <w:tc>
          <w:tcPr>
            <w:tcW w:w="1789"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1.31</w:t>
            </w:r>
          </w:p>
        </w:tc>
        <w:tc>
          <w:tcPr>
            <w:tcW w:w="1579"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+17.16%</w:t>
            </w:r>
          </w:p>
        </w:tc>
      </w:tr>
      <w:tr>
        <w:trPr>
          <w:trHeight w:val="510" w:hRule="atLeast"/>
        </w:trPr>
        <w:tc>
          <w:tcPr>
            <w:tcW w:w="1025"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江苏有线</w:t>
            </w:r>
          </w:p>
        </w:tc>
        <w:tc>
          <w:tcPr>
            <w:tcW w:w="1360"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79.80</w:t>
            </w:r>
          </w:p>
        </w:tc>
        <w:tc>
          <w:tcPr>
            <w:tcW w:w="1577"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+5.04%</w:t>
            </w:r>
          </w:p>
        </w:tc>
        <w:tc>
          <w:tcPr>
            <w:tcW w:w="1453"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18.89</w:t>
            </w:r>
          </w:p>
        </w:tc>
        <w:tc>
          <w:tcPr>
            <w:tcW w:w="1578"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+1.47%</w:t>
            </w:r>
          </w:p>
        </w:tc>
        <w:tc>
          <w:tcPr>
            <w:tcW w:w="1695"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3.65</w:t>
            </w:r>
          </w:p>
        </w:tc>
        <w:tc>
          <w:tcPr>
            <w:tcW w:w="1578"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+7.46%</w:t>
            </w:r>
          </w:p>
        </w:tc>
        <w:tc>
          <w:tcPr>
            <w:tcW w:w="1789"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1.04</w:t>
            </w:r>
          </w:p>
        </w:tc>
        <w:tc>
          <w:tcPr>
            <w:tcW w:w="1579"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+49.39%</w:t>
            </w:r>
          </w:p>
        </w:tc>
      </w:tr>
      <w:tr>
        <w:trPr>
          <w:trHeight w:val="510" w:hRule="atLeast"/>
        </w:trPr>
        <w:tc>
          <w:tcPr>
            <w:tcW w:w="1025"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东方明珠</w:t>
            </w:r>
          </w:p>
        </w:tc>
        <w:tc>
          <w:tcPr>
            <w:tcW w:w="1360"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76.98</w:t>
            </w:r>
          </w:p>
        </w:tc>
        <w:tc>
          <w:tcPr>
            <w:tcW w:w="1577"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-3.45%</w:t>
            </w:r>
          </w:p>
        </w:tc>
        <w:tc>
          <w:tcPr>
            <w:tcW w:w="1453"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14.82</w:t>
            </w:r>
          </w:p>
        </w:tc>
        <w:tc>
          <w:tcPr>
            <w:tcW w:w="1578"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-7.08%</w:t>
            </w:r>
          </w:p>
        </w:tc>
        <w:tc>
          <w:tcPr>
            <w:tcW w:w="1695"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6.69</w:t>
            </w:r>
          </w:p>
        </w:tc>
        <w:tc>
          <w:tcPr>
            <w:tcW w:w="1578"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+11.11%</w:t>
            </w:r>
          </w:p>
        </w:tc>
        <w:tc>
          <w:tcPr>
            <w:tcW w:w="1789"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1.21</w:t>
            </w:r>
          </w:p>
        </w:tc>
        <w:tc>
          <w:tcPr>
            <w:tcW w:w="1579"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+1.86%</w:t>
            </w:r>
          </w:p>
        </w:tc>
      </w:tr>
      <w:tr>
        <w:trPr>
          <w:trHeight w:val="510" w:hRule="atLeast"/>
        </w:trPr>
        <w:tc>
          <w:tcPr>
            <w:tcW w:w="1025"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电广传媒</w:t>
            </w:r>
          </w:p>
        </w:tc>
        <w:tc>
          <w:tcPr>
            <w:tcW w:w="1360"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39.02</w:t>
            </w:r>
          </w:p>
        </w:tc>
        <w:tc>
          <w:tcPr>
            <w:tcW w:w="1577"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-0.47%</w:t>
            </w:r>
          </w:p>
        </w:tc>
        <w:tc>
          <w:tcPr>
            <w:tcW w:w="1453"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9.22</w:t>
            </w:r>
          </w:p>
        </w:tc>
        <w:tc>
          <w:tcPr>
            <w:tcW w:w="1578"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+2.67%</w:t>
            </w:r>
          </w:p>
        </w:tc>
        <w:tc>
          <w:tcPr>
            <w:tcW w:w="1695"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0.96</w:t>
            </w:r>
          </w:p>
        </w:tc>
        <w:tc>
          <w:tcPr>
            <w:tcW w:w="1578"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-45.36%</w:t>
            </w:r>
          </w:p>
        </w:tc>
        <w:tc>
          <w:tcPr>
            <w:tcW w:w="1789"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0.03</w:t>
            </w:r>
          </w:p>
        </w:tc>
        <w:tc>
          <w:tcPr>
            <w:tcW w:w="1579"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-89.10%</w:t>
            </w:r>
          </w:p>
        </w:tc>
      </w:tr>
      <w:tr>
        <w:trPr>
          <w:trHeight w:val="510" w:hRule="atLeast"/>
        </w:trPr>
        <w:tc>
          <w:tcPr>
            <w:tcW w:w="1025"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歌华有线</w:t>
            </w:r>
          </w:p>
        </w:tc>
        <w:tc>
          <w:tcPr>
            <w:tcW w:w="1360"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23.14</w:t>
            </w:r>
          </w:p>
        </w:tc>
        <w:tc>
          <w:tcPr>
            <w:tcW w:w="1577"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-4.92%</w:t>
            </w:r>
          </w:p>
        </w:tc>
        <w:tc>
          <w:tcPr>
            <w:tcW w:w="1453"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4.56</w:t>
            </w:r>
          </w:p>
        </w:tc>
        <w:tc>
          <w:tcPr>
            <w:tcW w:w="1578"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-13.95%</w:t>
            </w:r>
          </w:p>
        </w:tc>
        <w:tc>
          <w:tcPr>
            <w:tcW w:w="1695"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-0.70</w:t>
            </w:r>
          </w:p>
        </w:tc>
        <w:tc>
          <w:tcPr>
            <w:tcW w:w="1578"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w:t>
            </w:r>
          </w:p>
        </w:tc>
        <w:tc>
          <w:tcPr>
            <w:tcW w:w="1789"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0.34</w:t>
            </w:r>
          </w:p>
        </w:tc>
        <w:tc>
          <w:tcPr>
            <w:tcW w:w="1579"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w:t>
            </w:r>
          </w:p>
        </w:tc>
      </w:tr>
      <w:tr>
        <w:trPr>
          <w:trHeight w:val="510" w:hRule="atLeast"/>
        </w:trPr>
        <w:tc>
          <w:tcPr>
            <w:tcW w:w="1025"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吉视传媒</w:t>
            </w:r>
          </w:p>
        </w:tc>
        <w:tc>
          <w:tcPr>
            <w:tcW w:w="1360"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19.82</w:t>
            </w:r>
          </w:p>
        </w:tc>
        <w:tc>
          <w:tcPr>
            <w:tcW w:w="1577"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+23.89%</w:t>
            </w:r>
          </w:p>
        </w:tc>
        <w:tc>
          <w:tcPr>
            <w:tcW w:w="1453"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4.99</w:t>
            </w:r>
          </w:p>
        </w:tc>
        <w:tc>
          <w:tcPr>
            <w:tcW w:w="1578"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+43.64%</w:t>
            </w:r>
          </w:p>
        </w:tc>
        <w:tc>
          <w:tcPr>
            <w:tcW w:w="1695"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-4.65</w:t>
            </w:r>
          </w:p>
        </w:tc>
        <w:tc>
          <w:tcPr>
            <w:tcW w:w="1578"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w:t>
            </w:r>
          </w:p>
        </w:tc>
        <w:tc>
          <w:tcPr>
            <w:tcW w:w="1789"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-1.03</w:t>
            </w:r>
          </w:p>
        </w:tc>
        <w:tc>
          <w:tcPr>
            <w:tcW w:w="1579"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w:t>
            </w:r>
          </w:p>
        </w:tc>
      </w:tr>
      <w:tr>
        <w:trPr>
          <w:trHeight w:val="510" w:hRule="atLeast"/>
        </w:trPr>
        <w:tc>
          <w:tcPr>
            <w:tcW w:w="1025"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贵广网络</w:t>
            </w:r>
          </w:p>
        </w:tc>
        <w:tc>
          <w:tcPr>
            <w:tcW w:w="1360"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15.96</w:t>
            </w:r>
          </w:p>
        </w:tc>
        <w:tc>
          <w:tcPr>
            <w:tcW w:w="1577"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-13.83%</w:t>
            </w:r>
          </w:p>
        </w:tc>
        <w:tc>
          <w:tcPr>
            <w:tcW w:w="1453"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2.79</w:t>
            </w:r>
          </w:p>
        </w:tc>
        <w:tc>
          <w:tcPr>
            <w:tcW w:w="1578"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-22.66%</w:t>
            </w:r>
          </w:p>
        </w:tc>
        <w:tc>
          <w:tcPr>
            <w:tcW w:w="1695"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-10.84</w:t>
            </w:r>
          </w:p>
        </w:tc>
        <w:tc>
          <w:tcPr>
            <w:tcW w:w="1578"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w:t>
            </w:r>
          </w:p>
        </w:tc>
        <w:tc>
          <w:tcPr>
            <w:tcW w:w="1789"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-2.67</w:t>
            </w:r>
          </w:p>
        </w:tc>
        <w:tc>
          <w:tcPr>
            <w:tcW w:w="1579"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w:t>
            </w:r>
          </w:p>
        </w:tc>
      </w:tr>
      <w:tr>
        <w:trPr>
          <w:trHeight w:val="510" w:hRule="atLeast"/>
        </w:trPr>
        <w:tc>
          <w:tcPr>
            <w:tcW w:w="1025"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湖北广电</w:t>
            </w:r>
          </w:p>
        </w:tc>
        <w:tc>
          <w:tcPr>
            <w:tcW w:w="1360"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15.91</w:t>
            </w:r>
          </w:p>
        </w:tc>
        <w:tc>
          <w:tcPr>
            <w:tcW w:w="1577"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-19.17%</w:t>
            </w:r>
          </w:p>
        </w:tc>
        <w:tc>
          <w:tcPr>
            <w:tcW w:w="1453"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4.15</w:t>
            </w:r>
          </w:p>
        </w:tc>
        <w:tc>
          <w:tcPr>
            <w:tcW w:w="1578"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-7.91%</w:t>
            </w:r>
          </w:p>
        </w:tc>
        <w:tc>
          <w:tcPr>
            <w:tcW w:w="1695"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-7.95</w:t>
            </w:r>
          </w:p>
        </w:tc>
        <w:tc>
          <w:tcPr>
            <w:tcW w:w="1578"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w:t>
            </w:r>
          </w:p>
        </w:tc>
        <w:tc>
          <w:tcPr>
            <w:tcW w:w="1789"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-1.11</w:t>
            </w:r>
          </w:p>
        </w:tc>
        <w:tc>
          <w:tcPr>
            <w:tcW w:w="1579"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w:t>
            </w:r>
          </w:p>
        </w:tc>
      </w:tr>
      <w:tr>
        <w:trPr>
          <w:trHeight w:val="510" w:hRule="atLeast"/>
        </w:trPr>
        <w:tc>
          <w:tcPr>
            <w:tcW w:w="1025"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广电网络</w:t>
            </w:r>
          </w:p>
        </w:tc>
        <w:tc>
          <w:tcPr>
            <w:tcW w:w="1360"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15.47</w:t>
            </w:r>
          </w:p>
        </w:tc>
        <w:tc>
          <w:tcPr>
            <w:tcW w:w="1577"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-33.00%</w:t>
            </w:r>
          </w:p>
        </w:tc>
        <w:tc>
          <w:tcPr>
            <w:tcW w:w="1453"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3.51</w:t>
            </w:r>
          </w:p>
        </w:tc>
        <w:tc>
          <w:tcPr>
            <w:tcW w:w="1578"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-14.53%</w:t>
            </w:r>
          </w:p>
        </w:tc>
        <w:tc>
          <w:tcPr>
            <w:tcW w:w="1695"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-10.59</w:t>
            </w:r>
          </w:p>
        </w:tc>
        <w:tc>
          <w:tcPr>
            <w:tcW w:w="1578"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w:t>
            </w:r>
          </w:p>
        </w:tc>
        <w:tc>
          <w:tcPr>
            <w:tcW w:w="1789"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-1.48</w:t>
            </w:r>
          </w:p>
        </w:tc>
        <w:tc>
          <w:tcPr>
            <w:tcW w:w="1579"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w:t>
            </w:r>
          </w:p>
        </w:tc>
      </w:tr>
      <w:tr>
        <w:trPr>
          <w:trHeight w:val="510" w:hRule="atLeast"/>
        </w:trPr>
        <w:tc>
          <w:tcPr>
            <w:tcW w:w="1025"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广西广电</w:t>
            </w:r>
          </w:p>
        </w:tc>
        <w:tc>
          <w:tcPr>
            <w:tcW w:w="1360"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13.59</w:t>
            </w:r>
          </w:p>
        </w:tc>
        <w:tc>
          <w:tcPr>
            <w:tcW w:w="1577"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-3.20%</w:t>
            </w:r>
          </w:p>
        </w:tc>
        <w:tc>
          <w:tcPr>
            <w:tcW w:w="1453"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2.62</w:t>
            </w:r>
          </w:p>
        </w:tc>
        <w:tc>
          <w:tcPr>
            <w:tcW w:w="1578"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-5.78%</w:t>
            </w:r>
          </w:p>
        </w:tc>
        <w:tc>
          <w:tcPr>
            <w:tcW w:w="1695"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-8.83</w:t>
            </w:r>
          </w:p>
        </w:tc>
        <w:tc>
          <w:tcPr>
            <w:tcW w:w="1578"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w:t>
            </w:r>
          </w:p>
        </w:tc>
        <w:tc>
          <w:tcPr>
            <w:tcW w:w="1789"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-1.98</w:t>
            </w:r>
          </w:p>
        </w:tc>
        <w:tc>
          <w:tcPr>
            <w:tcW w:w="1579"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w:t>
            </w:r>
          </w:p>
        </w:tc>
      </w:tr>
      <w:tr>
        <w:trPr>
          <w:trHeight w:val="510" w:hRule="atLeast"/>
        </w:trPr>
        <w:tc>
          <w:tcPr>
            <w:tcW w:w="1025"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天威视讯</w:t>
            </w:r>
          </w:p>
        </w:tc>
        <w:tc>
          <w:tcPr>
            <w:tcW w:w="1360"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13.03</w:t>
            </w:r>
          </w:p>
        </w:tc>
        <w:tc>
          <w:tcPr>
            <w:tcW w:w="1577"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-11.82%</w:t>
            </w:r>
          </w:p>
        </w:tc>
        <w:tc>
          <w:tcPr>
            <w:tcW w:w="1453"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2.62</w:t>
            </w:r>
          </w:p>
        </w:tc>
        <w:tc>
          <w:tcPr>
            <w:tcW w:w="1578"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-2.58%</w:t>
            </w:r>
          </w:p>
        </w:tc>
        <w:tc>
          <w:tcPr>
            <w:tcW w:w="1695"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-0.03</w:t>
            </w:r>
          </w:p>
        </w:tc>
        <w:tc>
          <w:tcPr>
            <w:tcW w:w="1578"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w:t>
            </w:r>
          </w:p>
        </w:tc>
        <w:tc>
          <w:tcPr>
            <w:tcW w:w="1789"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-0.10</w:t>
            </w:r>
          </w:p>
        </w:tc>
        <w:tc>
          <w:tcPr>
            <w:tcW w:w="1579"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w:t>
            </w:r>
          </w:p>
        </w:tc>
      </w:tr>
      <w:tr>
        <w:trPr>
          <w:trHeight w:val="510" w:hRule="atLeast"/>
        </w:trPr>
        <w:tc>
          <w:tcPr>
            <w:tcW w:w="1025"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流金科技</w:t>
            </w:r>
          </w:p>
        </w:tc>
        <w:tc>
          <w:tcPr>
            <w:tcW w:w="1360"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6.45</w:t>
            </w:r>
          </w:p>
        </w:tc>
        <w:tc>
          <w:tcPr>
            <w:tcW w:w="1577"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-15.18%</w:t>
            </w:r>
          </w:p>
        </w:tc>
        <w:tc>
          <w:tcPr>
            <w:tcW w:w="1453"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0.63</w:t>
            </w:r>
          </w:p>
        </w:tc>
        <w:tc>
          <w:tcPr>
            <w:tcW w:w="1578"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-49.03%</w:t>
            </w:r>
          </w:p>
        </w:tc>
        <w:tc>
          <w:tcPr>
            <w:tcW w:w="1695"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-0.24</w:t>
            </w:r>
          </w:p>
        </w:tc>
        <w:tc>
          <w:tcPr>
            <w:tcW w:w="1578"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w:t>
            </w:r>
          </w:p>
        </w:tc>
        <w:tc>
          <w:tcPr>
            <w:tcW w:w="1789"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0.02</w:t>
            </w:r>
          </w:p>
        </w:tc>
        <w:tc>
          <w:tcPr>
            <w:tcW w:w="1579"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-32.32%</w:t>
            </w:r>
          </w:p>
        </w:tc>
      </w:tr>
    </w:tbl>
    <w:p>
      <w:pPr>
        <w:numPr>
          <w:ilvl w:val="0"/>
          <w:numId w:val="8"/>
        </w:numPr>
        <w:spacing w:before="0" w:after="0"/>
        <w:jc w:val="left"/>
      </w:pPr>
      <w:r>
        <w:rPr>
          <w:rFonts w:ascii="Times New Roman" w:hAnsi="Times New Roman"/>
          <w:b/>
          <w:i w:val="false"/>
          <w:color w:val="000000"/>
          <w:sz w:val="22"/>
        </w:rPr>
        <w:t>相对位置</w:t>
      </w:r>
    </w:p>
    <w:p>
      <w:pPr>
        <w:numPr>
          <w:ilvl w:val="0"/>
          <w:numId w:val="8"/>
        </w:numPr>
        <w:spacing w:before="0" w:after="0"/>
        <w:jc w:val="left"/>
      </w:pPr>
      <w:r>
        <w:rPr>
          <w:rFonts w:ascii="Times New Roman" w:hAnsi="Times New Roman"/>
          <w:b w:val="false"/>
          <w:i w:val="false"/>
          <w:color w:val="000000"/>
          <w:sz w:val="22"/>
        </w:rPr>
        <w:t>广西广电在营收规模上处于第二梯队末端，</w:t>
      </w:r>
      <w:r>
        <w:rPr>
          <w:rFonts w:ascii="Times New Roman" w:hAnsi="Times New Roman"/>
          <w:b/>
          <w:i w:val="false"/>
          <w:color w:val="000000"/>
          <w:sz w:val="22"/>
        </w:rPr>
        <w:t>盈利能力显著落后</w:t>
      </w:r>
      <w:r>
        <w:rPr>
          <w:rFonts w:ascii="Times New Roman" w:hAnsi="Times New Roman"/>
          <w:b w:val="false"/>
          <w:i w:val="false"/>
          <w:color w:val="000000"/>
          <w:sz w:val="22"/>
        </w:rPr>
        <w:t>，24年与25Q1均为大额亏损；2025年通过重组剥离亏损广电资产，是“板块中以重组改善基本面”的典型路径，后续对标逻辑应切换至智慧交通/数智工程赛道同业。</w:t>
      </w:r>
    </w:p>
    <w:p>
      <w:pPr>
        <w:spacing w:before="180" w:after="180"/>
        <w:ind w:left="120"/>
        <w:jc w:val="left"/>
      </w:pPr>
      <w:r>
        <w:rPr>
          <w:rFonts w:ascii="Times New Roman" w:hAnsi="Times New Roman"/>
          <w:b/>
          <w:i w:val="false"/>
          <w:color w:val="000000"/>
          <w:sz w:val="33"/>
        </w:rPr>
        <w:t>7. 2025/2026一致预期与估值</w:t>
      </w:r>
    </w:p>
    <w:p>
      <w:pPr>
        <w:numPr>
          <w:ilvl w:val="0"/>
          <w:numId w:val="9"/>
        </w:numPr>
        <w:spacing w:before="0" w:after="0"/>
        <w:jc w:val="left"/>
      </w:pPr>
      <w:r>
        <w:rPr>
          <w:rFonts w:ascii="Times New Roman" w:hAnsi="Times New Roman"/>
          <w:b/>
          <w:i w:val="false"/>
          <w:color w:val="000000"/>
          <w:sz w:val="22"/>
        </w:rPr>
        <w:t>一致预期</w:t>
      </w:r>
      <w:r>
        <w:rPr>
          <w:rFonts w:ascii="Times New Roman" w:hAnsi="Times New Roman"/>
          <w:b w:val="false"/>
          <w:i w:val="false"/>
          <w:color w:val="000000"/>
          <w:sz w:val="22"/>
        </w:rPr>
        <w:t>：参考资料未披露卖方或一致预期口径的广西广电2025/2026年盈利预测；重组完成导致历史口径不可比，原有“广电运营”模型不再适用。</w:t>
      </w:r>
    </w:p>
    <w:p>
      <w:pPr>
        <w:numPr>
          <w:ilvl w:val="0"/>
          <w:numId w:val="9"/>
        </w:numPr>
        <w:spacing w:before="0" w:after="0"/>
        <w:jc w:val="left"/>
      </w:pPr>
      <w:r>
        <w:rPr>
          <w:rFonts w:ascii="Times New Roman" w:hAnsi="Times New Roman"/>
          <w:b/>
          <w:i w:val="false"/>
          <w:color w:val="000000"/>
          <w:sz w:val="22"/>
        </w:rPr>
        <w:t>市值与价格（跟踪）</w:t>
      </w:r>
      <w:r>
        <w:rPr>
          <w:rFonts w:ascii="Times New Roman" w:hAnsi="Times New Roman"/>
          <w:b w:val="false"/>
          <w:i w:val="false"/>
          <w:color w:val="000000"/>
          <w:sz w:val="22"/>
        </w:rPr>
        <w:t>：2025-12-15总市值约</w:t>
      </w:r>
      <w:r>
        <w:rPr>
          <w:rFonts w:ascii="Times New Roman" w:hAnsi="Times New Roman"/>
          <w:b/>
          <w:i w:val="false"/>
          <w:color w:val="000000"/>
          <w:sz w:val="22"/>
        </w:rPr>
        <w:t>75.53亿元</w:t>
      </w:r>
      <w:r>
        <w:rPr>
          <w:rFonts w:ascii="Times New Roman" w:hAnsi="Times New Roman"/>
          <w:b w:val="false"/>
          <w:i w:val="false"/>
          <w:color w:val="000000"/>
          <w:sz w:val="22"/>
        </w:rPr>
        <w:t>，收盘价</w:t>
      </w:r>
      <w:r>
        <w:rPr>
          <w:rFonts w:ascii="Times New Roman" w:hAnsi="Times New Roman"/>
          <w:b/>
          <w:i w:val="false"/>
          <w:color w:val="000000"/>
          <w:sz w:val="22"/>
        </w:rPr>
        <w:t>4.52元</w:t>
      </w:r>
      <w:r>
        <w:rPr>
          <w:rFonts w:ascii="Times New Roman" w:hAnsi="Times New Roman"/>
          <w:b w:val="false"/>
          <w:i w:val="false"/>
          <w:color w:val="000000"/>
          <w:sz w:val="22"/>
        </w:rPr>
        <w:t>。</w:t>
      </w:r>
    </w:p>
    <w:p>
      <w:pPr>
        <w:numPr>
          <w:ilvl w:val="0"/>
          <w:numId w:val="9"/>
        </w:numPr>
        <w:spacing w:before="0" w:after="0"/>
        <w:jc w:val="left"/>
      </w:pPr>
      <w:r>
        <w:rPr>
          <w:rFonts w:ascii="Times New Roman" w:hAnsi="Times New Roman"/>
          <w:b/>
          <w:i w:val="false"/>
          <w:color w:val="000000"/>
          <w:sz w:val="22"/>
        </w:rPr>
        <w:t>静态参考倍数（口径差异巨大，仅作描述）</w:t>
      </w:r>
      <w:r>
        <w:rPr>
          <w:rFonts w:ascii="Times New Roman" w:hAnsi="Times New Roman"/>
          <w:b w:val="false"/>
          <w:i w:val="false"/>
          <w:color w:val="000000"/>
          <w:sz w:val="22"/>
        </w:rPr>
        <w:t>：如以2024年置出前营收13.59亿元对比当前市值，P/S约5.6x，但该口径与重组后业务口径</w:t>
      </w:r>
      <w:r>
        <w:rPr>
          <w:rFonts w:ascii="Times New Roman" w:hAnsi="Times New Roman"/>
          <w:b/>
          <w:i w:val="false"/>
          <w:color w:val="000000"/>
          <w:sz w:val="22"/>
        </w:rPr>
        <w:t>不具可比性</w:t>
      </w:r>
      <w:r>
        <w:rPr>
          <w:rFonts w:ascii="Times New Roman" w:hAnsi="Times New Roman"/>
          <w:b w:val="false"/>
          <w:i w:val="false"/>
          <w:color w:val="000000"/>
          <w:sz w:val="22"/>
        </w:rPr>
        <w:t>，仅提示历史估值体系已失效，应以置入资产的营收与利润构建新框架（资料未披露置入资产的明细测算）。</w:t>
      </w:r>
    </w:p>
    <w:p>
      <w:pPr>
        <w:spacing w:before="180" w:after="180"/>
        <w:ind w:left="120"/>
        <w:jc w:val="left"/>
      </w:pPr>
      <w:r>
        <w:rPr>
          <w:rFonts w:ascii="Times New Roman" w:hAnsi="Times New Roman"/>
          <w:b/>
          <w:i w:val="false"/>
          <w:color w:val="000000"/>
          <w:sz w:val="33"/>
        </w:rPr>
        <w:t>8. 关键图示（结构与趋势）</w:t>
      </w:r>
    </w:p>
    <w:p>
      <w:pPr>
        <w:numPr>
          <w:ilvl w:val="0"/>
          <w:numId w:val="10"/>
        </w:numPr>
        <w:spacing w:before="0" w:after="0"/>
        <w:jc w:val="left"/>
      </w:pPr>
      <w:r>
        <w:rPr>
          <w:rFonts w:ascii="Times New Roman" w:hAnsi="Times New Roman"/>
          <w:b w:val="false"/>
          <w:i w:val="false"/>
          <w:color w:val="000000"/>
          <w:sz w:val="22"/>
        </w:rPr>
        <w:t>2022—2024全国广播电视服务业实际创收构成：有线网络收入回升，网络视听与总创收持续增长。</w:t>
      </w:r>
      <w:r>
        <w:drawing>
          <wp:inline distT="0" distB="0" distL="0" distR="0">
            <wp:extent cx="5732145" cy="3610883"/>
            <wp:effectExtent l="0" t="0" r="0" b="0"/>
            <wp:docPr id="4" name="" descr=""/>
            <wp:cNvGraphicFramePr>
              <a:graphicFrameLocks noChangeAspect="true"/>
            </wp:cNvGraphicFramePr>
            <a:graphic>
              <a:graphicData uri="http://schemas.openxmlformats.org/drawingml/2006/picture">
                <pic:pic>
                  <pic:nvPicPr>
                    <pic:cNvPr id="1" name=""/>
                    <pic:cNvPicPr/>
                  </pic:nvPicPr>
                  <pic:blipFill>
                    <a:blip r:embed="rId4"/>
                    <a:stretch>
                      <a:fillRect/>
                    </a:stretch>
                  </pic:blipFill>
                  <pic:spPr>
                    <a:xfrm>
                      <a:off x="0" y="0"/>
                      <a:ext cx="5732145" cy="3610883"/>
                    </a:xfrm>
                    <a:prstGeom prst="rect">
                      <a:avLst/>
                    </a:prstGeom>
                  </pic:spPr>
                </pic:pic>
              </a:graphicData>
            </a:graphic>
          </wp:inline>
        </w:drawing>
      </w:r>
    </w:p>
    <w:p>
      <w:pPr>
        <w:numPr>
          <w:ilvl w:val="0"/>
          <w:numId w:val="10"/>
        </w:numPr>
        <w:spacing w:before="0" w:after="0"/>
        <w:jc w:val="left"/>
      </w:pPr>
      <w:r>
        <w:rPr>
          <w:rFonts w:ascii="Times New Roman" w:hAnsi="Times New Roman"/>
          <w:b w:val="false"/>
          <w:i w:val="false"/>
          <w:color w:val="000000"/>
          <w:sz w:val="22"/>
        </w:rPr>
        <w:t>2019—2024H1全国有线电视用户数量：2019—2022持续下行，2023—2024H1边际回升。</w:t>
      </w:r>
      <w:r>
        <w:drawing>
          <wp:inline distT="0" distB="0" distL="0" distR="0">
            <wp:extent cx="5732145" cy="3796399"/>
            <wp:effectExtent l="0" t="0" r="0" b="0"/>
            <wp:docPr id="5" name="" descr=""/>
            <wp:cNvGraphicFramePr>
              <a:graphicFrameLocks noChangeAspect="true"/>
            </wp:cNvGraphicFramePr>
            <a:graphic>
              <a:graphicData uri="http://schemas.openxmlformats.org/drawingml/2006/picture">
                <pic:pic>
                  <pic:nvPicPr>
                    <pic:cNvPr id="1" name=""/>
                    <pic:cNvPicPr/>
                  </pic:nvPicPr>
                  <pic:blipFill>
                    <a:blip r:embed="rId5"/>
                    <a:stretch>
                      <a:fillRect/>
                    </a:stretch>
                  </pic:blipFill>
                  <pic:spPr>
                    <a:xfrm>
                      <a:off x="0" y="0"/>
                      <a:ext cx="5732145" cy="3796399"/>
                    </a:xfrm>
                    <a:prstGeom prst="rect">
                      <a:avLst/>
                    </a:prstGeom>
                  </pic:spPr>
                </pic:pic>
              </a:graphicData>
            </a:graphic>
          </wp:inline>
        </w:drawing>
      </w:r>
    </w:p>
    <w:p>
      <w:pPr>
        <w:spacing w:before="180" w:after="180"/>
        <w:ind w:left="120"/>
        <w:jc w:val="left"/>
      </w:pPr>
      <w:r>
        <w:rPr>
          <w:rFonts w:ascii="Times New Roman" w:hAnsi="Times New Roman"/>
          <w:b/>
          <w:i w:val="false"/>
          <w:color w:val="000000"/>
          <w:sz w:val="33"/>
        </w:rPr>
        <w:t>9. 投资研判与潜在业务机会（公司维度）</w:t>
      </w:r>
    </w:p>
    <w:p>
      <w:pPr>
        <w:numPr>
          <w:ilvl w:val="0"/>
          <w:numId w:val="11"/>
        </w:numPr>
        <w:spacing w:before="0" w:after="0"/>
        <w:jc w:val="left"/>
      </w:pPr>
      <w:r>
        <w:rPr>
          <w:rFonts w:ascii="Times New Roman" w:hAnsi="Times New Roman"/>
          <w:b/>
          <w:i w:val="false"/>
          <w:color w:val="000000"/>
          <w:sz w:val="22"/>
        </w:rPr>
        <w:t>短期（重组落地期）</w:t>
      </w:r>
    </w:p>
    <w:p>
      <w:pPr>
        <w:numPr>
          <w:ilvl w:val="0"/>
          <w:numId w:val="11"/>
        </w:numPr>
        <w:spacing w:before="0" w:after="0"/>
        <w:jc w:val="left"/>
      </w:pPr>
      <w:r>
        <w:rPr>
          <w:rFonts w:ascii="Times New Roman" w:hAnsi="Times New Roman"/>
          <w:b w:val="false"/>
          <w:i w:val="false"/>
          <w:color w:val="000000"/>
          <w:sz w:val="22"/>
        </w:rPr>
        <w:t>关注交科集团并表后的经营节奏（订单结构、在建与在手项目）、现金流质量与毛利率结构变化，验证“从广电运营转向数智工程”的盈利修复路径。</w:t>
      </w:r>
    </w:p>
    <w:p>
      <w:pPr>
        <w:numPr>
          <w:ilvl w:val="0"/>
          <w:numId w:val="11"/>
        </w:numPr>
        <w:spacing w:before="0" w:after="0"/>
        <w:jc w:val="left"/>
      </w:pPr>
      <w:r>
        <w:rPr>
          <w:rFonts w:ascii="Times New Roman" w:hAnsi="Times New Roman"/>
          <w:b/>
          <w:i w:val="false"/>
          <w:color w:val="000000"/>
          <w:sz w:val="22"/>
        </w:rPr>
        <w:t>中期（赛道切换）</w:t>
      </w:r>
    </w:p>
    <w:p>
      <w:pPr>
        <w:numPr>
          <w:ilvl w:val="0"/>
          <w:numId w:val="11"/>
        </w:numPr>
        <w:spacing w:before="0" w:after="0"/>
        <w:jc w:val="left"/>
      </w:pPr>
      <w:r>
        <w:rPr>
          <w:rFonts w:ascii="Times New Roman" w:hAnsi="Times New Roman"/>
          <w:b w:val="false"/>
          <w:i w:val="false"/>
          <w:color w:val="000000"/>
          <w:sz w:val="22"/>
        </w:rPr>
        <w:t>赛道从“有线/广电”切换到“智慧交通/数智工程/试验检测/新材料/机电设备”，需重建同业可比与估值方法；关注区域资源、政企客户网络与人才结构带来的</w:t>
      </w:r>
      <w:r>
        <w:rPr>
          <w:rFonts w:ascii="Times New Roman" w:hAnsi="Times New Roman"/>
          <w:b/>
          <w:i w:val="false"/>
          <w:color w:val="000000"/>
          <w:sz w:val="22"/>
        </w:rPr>
        <w:t>本地优势与跨区域扩张能力</w:t>
      </w:r>
      <w:r>
        <w:rPr>
          <w:rFonts w:ascii="Times New Roman" w:hAnsi="Times New Roman"/>
          <w:b w:val="false"/>
          <w:i w:val="false"/>
          <w:color w:val="000000"/>
          <w:sz w:val="22"/>
        </w:rPr>
        <w:t>。</w:t>
      </w:r>
    </w:p>
    <w:p>
      <w:pPr>
        <w:numPr>
          <w:ilvl w:val="0"/>
          <w:numId w:val="11"/>
        </w:numPr>
        <w:spacing w:before="0" w:after="0"/>
        <w:jc w:val="left"/>
      </w:pPr>
      <w:r>
        <w:rPr>
          <w:rFonts w:ascii="Times New Roman" w:hAnsi="Times New Roman"/>
          <w:b/>
          <w:i w:val="false"/>
          <w:color w:val="000000"/>
          <w:sz w:val="22"/>
        </w:rPr>
        <w:t>传统广电资产（已置出）链条机会（行业维度）</w:t>
      </w:r>
    </w:p>
    <w:p>
      <w:pPr>
        <w:numPr>
          <w:ilvl w:val="0"/>
          <w:numId w:val="11"/>
        </w:numPr>
        <w:spacing w:before="0" w:after="0"/>
        <w:jc w:val="left"/>
      </w:pPr>
      <w:r>
        <w:rPr>
          <w:rFonts w:ascii="Times New Roman" w:hAnsi="Times New Roman"/>
          <w:b w:val="false"/>
          <w:i w:val="false"/>
          <w:color w:val="000000"/>
          <w:sz w:val="22"/>
        </w:rPr>
        <w:t>行业规范化与大屏提价的政策红利，更可能在牌照商与头部长视频平台端兑现；</w:t>
      </w:r>
      <w:r>
        <w:rPr>
          <w:rFonts w:ascii="Times New Roman" w:hAnsi="Times New Roman"/>
          <w:b/>
          <w:i w:val="false"/>
          <w:color w:val="000000"/>
          <w:sz w:val="22"/>
        </w:rPr>
        <w:t>对广西广电个股已非主线</w:t>
      </w:r>
      <w:r>
        <w:rPr>
          <w:rFonts w:ascii="Times New Roman" w:hAnsi="Times New Roman"/>
          <w:b w:val="false"/>
          <w:i w:val="false"/>
          <w:color w:val="000000"/>
          <w:sz w:val="22"/>
        </w:rPr>
        <w:t>，但对板块性交易具备参考意义。</w:t>
      </w:r>
    </w:p>
    <w:p>
      <w:pPr>
        <w:spacing w:before="180" w:after="180"/>
        <w:ind w:left="120"/>
        <w:jc w:val="left"/>
      </w:pPr>
      <w:r>
        <w:rPr>
          <w:rFonts w:ascii="Times New Roman" w:hAnsi="Times New Roman"/>
          <w:b/>
          <w:i w:val="false"/>
          <w:color w:val="000000"/>
          <w:sz w:val="33"/>
        </w:rPr>
        <w:t>风险提示</w:t>
      </w:r>
    </w:p>
    <w:p>
      <w:pPr>
        <w:numPr>
          <w:ilvl w:val="0"/>
          <w:numId w:val="12"/>
        </w:numPr>
        <w:spacing w:before="0" w:after="0"/>
        <w:jc w:val="left"/>
      </w:pPr>
      <w:r>
        <w:rPr>
          <w:rFonts w:ascii="Times New Roman" w:hAnsi="Times New Roman"/>
          <w:b w:val="false"/>
          <w:i w:val="false"/>
          <w:color w:val="000000"/>
          <w:sz w:val="22"/>
        </w:rPr>
        <w:t>行业监管落地节奏不及预期，用户回流与大屏变现或不达预期。</w:t>
      </w:r>
    </w:p>
    <w:p>
      <w:pPr>
        <w:numPr>
          <w:ilvl w:val="0"/>
          <w:numId w:val="12"/>
        </w:numPr>
        <w:spacing w:before="0" w:after="0"/>
        <w:jc w:val="left"/>
      </w:pPr>
      <w:r>
        <w:rPr>
          <w:rFonts w:ascii="Times New Roman" w:hAnsi="Times New Roman"/>
          <w:b w:val="false"/>
          <w:i w:val="false"/>
          <w:color w:val="000000"/>
          <w:sz w:val="22"/>
        </w:rPr>
        <w:t>政企业务回款进度与财务费用压力；重组后在新赛道的整合期业绩波动风险。</w:t>
      </w:r>
    </w:p>
    <w:p>
      <w:pPr>
        <w:numPr>
          <w:ilvl w:val="0"/>
          <w:numId w:val="12"/>
        </w:numPr>
        <w:spacing w:before="0" w:after="0"/>
        <w:jc w:val="left"/>
      </w:pPr>
      <w:r>
        <w:rPr>
          <w:rFonts w:ascii="Times New Roman" w:hAnsi="Times New Roman"/>
          <w:b w:val="false"/>
          <w:i w:val="false"/>
          <w:color w:val="000000"/>
          <w:sz w:val="22"/>
        </w:rPr>
        <w:t>历史口径与重组后口径不可比，估值体系需切换，短期市场波动加大。</w:t>
      </w:r>
    </w:p>
    <w:p>
      <w:pPr>
        <w:spacing w:before="180" w:after="180"/>
        <w:ind w:left="120"/>
        <w:jc w:val="left"/>
      </w:pPr>
      <w:r>
        <w:rPr>
          <w:rFonts w:ascii="Times New Roman" w:hAnsi="Times New Roman"/>
          <w:b/>
          <w:i w:val="false"/>
          <w:color w:val="000000"/>
          <w:sz w:val="33"/>
        </w:rPr>
        <w:t>【可能延伸的思考维度】</w:t>
      </w:r>
    </w:p>
    <w:p>
      <w:pPr>
        <w:numPr>
          <w:ilvl w:val="0"/>
          <w:numId w:val="13"/>
        </w:numPr>
        <w:spacing w:before="0" w:after="0"/>
        <w:jc w:val="left"/>
      </w:pPr>
      <w:r>
        <w:rPr>
          <w:rFonts w:ascii="Times New Roman" w:hAnsi="Times New Roman"/>
          <w:b w:val="false"/>
          <w:i w:val="false"/>
          <w:color w:val="000000"/>
          <w:sz w:val="22"/>
        </w:rPr>
        <w:t>重组并表后（交科集团51%）的收入结构、在手订单与项目周期拆解，建立新口径的季度跟踪框架。</w:t>
      </w:r>
    </w:p>
    <w:p>
      <w:pPr>
        <w:numPr>
          <w:ilvl w:val="0"/>
          <w:numId w:val="13"/>
        </w:numPr>
        <w:spacing w:before="0" w:after="0"/>
        <w:jc w:val="left"/>
      </w:pPr>
      <w:r>
        <w:rPr>
          <w:rFonts w:ascii="Times New Roman" w:hAnsi="Times New Roman"/>
          <w:b w:val="false"/>
          <w:i w:val="false"/>
          <w:color w:val="000000"/>
          <w:sz w:val="22"/>
        </w:rPr>
        <w:t>广西区域智慧交通/数智工程市场容量与公司份额变化，用招投标与中标公告补齐领先指标。</w:t>
      </w:r>
    </w:p>
    <w:p>
      <w:pPr>
        <w:numPr>
          <w:ilvl w:val="0"/>
          <w:numId w:val="13"/>
        </w:numPr>
        <w:spacing w:before="0" w:after="0"/>
        <w:jc w:val="left"/>
      </w:pPr>
      <w:r>
        <w:rPr>
          <w:rFonts w:ascii="Times New Roman" w:hAnsi="Times New Roman"/>
          <w:b w:val="false"/>
          <w:i w:val="false"/>
          <w:color w:val="000000"/>
          <w:sz w:val="22"/>
        </w:rPr>
        <w:t>与同赛道可比公司（数智工程/试验检测/新材料）在毛利率、现金流与资本开支上的对比与估值锚点重建。</w:t>
      </w:r>
    </w:p>
    <w:sectPr>
      <w:pgSz w:w="11907" w:h="16839" w:code="9"/>
      <w:pgMar w:top="1440" w:right="1440" w:bottom="1440" w:left="1440"/>
    </w:sectPr>
  </w:body>
</w:document>
</file>

<file path=word/numbering.xml><?xml version="1.0" encoding="utf-8"?>
<w:numbering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abstractNum w:abstractNumId="1">
    <w:multiLevelType w:val="multilevel"/>
    <w:lvl w:ilvl="0">
      <w:start w:val="1"/>
      <w:numFmt w:val="bullet"/>
      <w:lvlText w:val=""/>
      <w:lvlJc w:val="left"/>
      <w:pPr>
        <w:ind w:left="960" w:hanging="360"/>
      </w:pPr>
      <w:rPr>
        <w:rFonts w:hint="default" w:ascii="Symbol" w:hAnsi="Symbol"/>
      </w:rPr>
    </w:lvl>
  </w:abstractNum>
  <w:abstractNum w:abstractNumId="2">
    <w:multiLevelType w:val="multilevel"/>
    <w:lvl w:ilvl="0">
      <w:start w:val="1"/>
      <w:numFmt w:val="bullet"/>
      <w:lvlText w:val=""/>
      <w:lvlJc w:val="left"/>
      <w:pPr>
        <w:ind w:left="960" w:hanging="360"/>
      </w:pPr>
      <w:rPr>
        <w:rFonts w:hint="default" w:ascii="Symbol" w:hAnsi="Symbol"/>
      </w:rPr>
    </w:lvl>
  </w:abstractNum>
  <w:abstractNum w:abstractNumId="3">
    <w:multiLevelType w:val="multilevel"/>
    <w:lvl w:ilvl="0">
      <w:start w:val="1"/>
      <w:numFmt w:val="bullet"/>
      <w:lvlText w:val=""/>
      <w:lvlJc w:val="left"/>
      <w:pPr>
        <w:ind w:left="960" w:hanging="360"/>
      </w:pPr>
      <w:rPr>
        <w:rFonts w:hint="default" w:ascii="Symbol" w:hAnsi="Symbol"/>
      </w:rPr>
    </w:lvl>
  </w:abstractNum>
  <w:abstractNum w:abstractNumId="4">
    <w:multiLevelType w:val="multilevel"/>
    <w:lvl w:ilvl="0">
      <w:start w:val="1"/>
      <w:numFmt w:val="bullet"/>
      <w:lvlText w:val=""/>
      <w:lvlJc w:val="left"/>
      <w:pPr>
        <w:ind w:left="960" w:hanging="360"/>
      </w:pPr>
      <w:rPr>
        <w:rFonts w:hint="default" w:ascii="Symbol" w:hAnsi="Symbol"/>
      </w:rPr>
    </w:lvl>
  </w:abstractNum>
  <w:abstractNum w:abstractNumId="5">
    <w:multiLevelType w:val="multilevel"/>
    <w:lvl w:ilvl="0">
      <w:start w:val="1"/>
      <w:numFmt w:val="bullet"/>
      <w:lvlText w:val=""/>
      <w:lvlJc w:val="left"/>
      <w:pPr>
        <w:ind w:left="960" w:hanging="360"/>
      </w:pPr>
      <w:rPr>
        <w:rFonts w:hint="default" w:ascii="Symbol" w:hAnsi="Symbol"/>
      </w:rPr>
    </w:lvl>
  </w:abstractNum>
  <w:abstractNum w:abstractNumId="6">
    <w:multiLevelType w:val="multilevel"/>
    <w:lvl w:ilvl="0">
      <w:start w:val="1"/>
      <w:numFmt w:val="bullet"/>
      <w:lvlText w:val=""/>
      <w:lvlJc w:val="left"/>
      <w:pPr>
        <w:ind w:left="960" w:hanging="360"/>
      </w:pPr>
      <w:rPr>
        <w:rFonts w:hint="default" w:ascii="Symbol" w:hAnsi="Symbol"/>
      </w:rPr>
    </w:lvl>
  </w:abstractNum>
  <w:abstractNum w:abstractNumId="7">
    <w:multiLevelType w:val="multilevel"/>
    <w:lvl w:ilvl="0">
      <w:start w:val="1"/>
      <w:numFmt w:val="bullet"/>
      <w:lvlText w:val=""/>
      <w:lvlJc w:val="left"/>
      <w:pPr>
        <w:ind w:left="960" w:hanging="360"/>
      </w:pPr>
      <w:rPr>
        <w:rFonts w:hint="default" w:ascii="Symbol" w:hAnsi="Symbol"/>
      </w:rPr>
    </w:lvl>
  </w:abstractNum>
  <w:abstractNum w:abstractNumId="8">
    <w:multiLevelType w:val="multilevel"/>
    <w:lvl w:ilvl="0">
      <w:start w:val="1"/>
      <w:numFmt w:val="bullet"/>
      <w:lvlText w:val=""/>
      <w:lvlJc w:val="left"/>
      <w:pPr>
        <w:ind w:left="960" w:hanging="360"/>
      </w:pPr>
      <w:rPr>
        <w:rFonts w:hint="default" w:ascii="Symbol" w:hAnsi="Symbol"/>
      </w:rPr>
    </w:lvl>
  </w:abstractNum>
  <w:abstractNum w:abstractNumId="9">
    <w:multiLevelType w:val="multilevel"/>
    <w:lvl w:ilvl="0">
      <w:start w:val="1"/>
      <w:numFmt w:val="bullet"/>
      <w:lvlText w:val=""/>
      <w:lvlJc w:val="left"/>
      <w:pPr>
        <w:ind w:left="960" w:hanging="360"/>
      </w:pPr>
      <w:rPr>
        <w:rFonts w:hint="default" w:ascii="Symbol" w:hAnsi="Symbol"/>
      </w:rPr>
    </w:lvl>
  </w:abstractNum>
  <w:abstractNum w:abstractNumId="10">
    <w:multiLevelType w:val="multilevel"/>
    <w:lvl w:ilvl="0">
      <w:start w:val="1"/>
      <w:numFmt w:val="bullet"/>
      <w:lvlText w:val=""/>
      <w:lvlJc w:val="left"/>
      <w:pPr>
        <w:ind w:left="960" w:hanging="360"/>
      </w:pPr>
      <w:rPr>
        <w:rFonts w:hint="default" w:ascii="Symbol" w:hAnsi="Symbol"/>
      </w:rPr>
    </w:lvl>
  </w:abstractNum>
  <w:abstractNum w:abstractNumId="11">
    <w:multiLevelType w:val="multilevel"/>
    <w:lvl w:ilvl="0">
      <w:start w:val="1"/>
      <w:numFmt w:val="bullet"/>
      <w:lvlText w:val=""/>
      <w:lvlJc w:val="left"/>
      <w:pPr>
        <w:ind w:left="960" w:hanging="360"/>
      </w:pPr>
      <w:rPr>
        <w:rFonts w:hint="default" w:ascii="Symbol" w:hAnsi="Symbol"/>
      </w:rPr>
    </w:lvl>
  </w:abstractNum>
  <w:abstractNum w:abstractNumId="12">
    <w:multiLevelType w:val="multilevel"/>
    <w:lvl w:ilvl="0">
      <w:start w:val="1"/>
      <w:numFmt w:val="bullet"/>
      <w:lvlText w:val=""/>
      <w:lvlJc w:val="left"/>
      <w:pPr>
        <w:ind w:left="960" w:hanging="360"/>
      </w:pPr>
      <w:rPr>
        <w:rFonts w:hint="default" w:ascii="Symbol" w:hAnsi="Symbol"/>
      </w:rPr>
    </w:lvl>
  </w:abstractNum>
  <w:abstractNum w:abstractNumId="13">
    <w:multiLevelType w:val="multilevel"/>
    <w:lvl w:ilvl="0">
      <w:start w:val="1"/>
      <w:numFmt w:val="bullet"/>
      <w:lvlText w:val=""/>
      <w:lvlJc w:val="left"/>
      <w:pPr>
        <w:ind w:left="960" w:hanging="360"/>
      </w:pPr>
      <w:rPr>
        <w:rFonts w:hint="default" w:ascii="Symbol" w:hAnsi="Symbol"/>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edia/document_image_rId4.jpeg" Type="http://schemas.openxmlformats.org/officeDocument/2006/relationships/image" Id="rId4"/>
    <Relationship Target="media/document_image_rId5.jpeg" Type="http://schemas.openxmlformats.org/officeDocument/2006/relationships/image" Id="rId5"/>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