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9 (Apache licensed) using REFERENCE JAXB in Oracle Java 1.8.0_321 on Linux -->
    <w:p>
      <w:pPr>
        <w:spacing w:before="300" w:after="300"/>
        <w:ind w:left="120"/>
        <w:jc w:val="center"/>
      </w:pPr>
      <w:r>
        <w:rPr>
          <w:rFonts w:ascii="Times New Roman" w:hAnsi="Times New Roman"/>
          <w:b/>
          <w:i w:val="false"/>
          <w:color w:val="000000"/>
          <w:sz w:val="30"/>
        </w:rPr>
        <w:t xml:space="preserve"> 你是一位专业的股票研究员，同时兼具很强的... </w:t>
      </w:r>
    </w:p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【结论】 华盛锂电近期大涨的核心驱动在于：一是电解液添加剂VC/FEC进入价格上行与供需紧平衡阶段，叠加公司明确的扩产与工艺优化路线（湖北云梦6万吨VC项目一期3万吨、CEC中间体已试产、LiDFOB/MMDS/LiTFSI等新产品线推进），市场对其2026年前后的业绩弹性预期显著抬升；二是固态电池产业链催化密集，公司已与蜂巢能源达成硫化物固态电解质战略合作并启动2吨/年硫化锂中试验证，获得“固态材料卡位”预期；三是多家机构密集调研与多日严重异常波动公告叠加，资金关注度与交易热度形成正反馈。这些因素与当下“材料涨价（六氟/添加剂）”与“固态电池”两大市场主线高度契合，共同推动股价快速上行。 （该信息发布日期为20251111）（该信息发布日期为20251110）（该信息发布日期为20251112）（该信息发布日期为20251026）（该信息发布日期为20251019）（该信息发布日期为20251111）（该信息发布日期为20251111）（该信息发布日期为20251114）（该信息发布日期为无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1. 基本信息（公司、行业、主营、同类公司、创始人/高管）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公司名称与基本资料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：江苏华盛锂电材料股份有限公司；简称：华盛锂电；英文：Jiangsu HSC New Energy Materials Co., LTD.（HSC）；法定代表人：</w:t>
      </w:r>
      <w:r>
        <w:rPr>
          <w:rFonts w:ascii="Times New Roman" w:hAnsi="Times New Roman"/>
          <w:b/>
          <w:i w:val="false"/>
          <w:color w:val="000000"/>
          <w:sz w:val="22"/>
        </w:rPr>
        <w:t>沈锦良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；注册地址/办公地址：江苏扬子江国际化学工业园德盛路1号；公司网址：http://www.sinohsc.com/。（该信息发布日期为20250828）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行业与主营业务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：公司专注于</w:t>
      </w:r>
      <w:r>
        <w:rPr>
          <w:rFonts w:ascii="Times New Roman" w:hAnsi="Times New Roman"/>
          <w:b/>
          <w:i w:val="false"/>
          <w:color w:val="000000"/>
          <w:sz w:val="22"/>
        </w:rPr>
        <w:t>锂离子电池电解液添加剂（VC、FEC等）</w:t>
      </w:r>
      <w:r>
        <w:rPr>
          <w:rFonts w:ascii="Times New Roman" w:hAnsi="Times New Roman"/>
          <w:b/>
          <w:i w:val="false"/>
          <w:color w:val="000000"/>
          <w:sz w:val="22"/>
        </w:rPr>
        <w:t>的研发、生产与销售，并布局</w:t>
      </w:r>
      <w:r>
        <w:rPr>
          <w:rFonts w:ascii="Times New Roman" w:hAnsi="Times New Roman"/>
          <w:b/>
          <w:i w:val="false"/>
          <w:color w:val="000000"/>
          <w:sz w:val="22"/>
        </w:rPr>
        <w:t>固态电池材料（硫化锂/硫化物电解质）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、**负极材料（石墨/硅碳）**等新方向。（该信息发布日期为20251022）（该信息发布日期为20251112）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同类/竞品公司（电解液添加剂）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：山东亘元、瀚康化工、苏州华一、浙江天硕、荣成青木等（不同来源口径）。（该信息发布日期为20251112）（该信息发布日期为20250823）</w:t>
      </w:r>
    </w:p>
    <w:p>
      <w:pPr>
        <w:numPr>
          <w:ilvl w:val="0"/>
          <w:numId w:val="1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创始人简介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：公开材料未披露“创始人”详细简介信息，</w:t>
      </w:r>
      <w:r>
        <w:rPr>
          <w:rFonts w:ascii="Times New Roman" w:hAnsi="Times New Roman"/>
          <w:b/>
          <w:i w:val="false"/>
          <w:color w:val="000000"/>
          <w:sz w:val="22"/>
        </w:rPr>
        <w:t>不清楚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。当前董事长/法定代表人为沈锦良。（该信息发布日期为20250828）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2. 近期已公开的业务进展（含财务、产能、项目、交易波动）</w:t>
      </w:r>
    </w:p>
    <w:p>
      <w:pPr>
        <w:numPr>
          <w:ilvl w:val="0"/>
          <w:numId w:val="2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经营与财务进展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：2025年前三季度实现营业收入</w:t>
      </w:r>
      <w:r>
        <w:rPr>
          <w:rFonts w:ascii="Times New Roman" w:hAnsi="Times New Roman"/>
          <w:b/>
          <w:i w:val="false"/>
          <w:color w:val="000000"/>
          <w:sz w:val="22"/>
        </w:rPr>
        <w:t>53855.53万元（+62.29%）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；归母净利润</w:t>
      </w:r>
      <w:r>
        <w:rPr>
          <w:rFonts w:ascii="Times New Roman" w:hAnsi="Times New Roman"/>
          <w:b/>
          <w:i w:val="false"/>
          <w:color w:val="000000"/>
          <w:sz w:val="22"/>
        </w:rPr>
        <w:t>亏损10297.45万元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；扣非归母净利润</w:t>
      </w:r>
      <w:r>
        <w:rPr>
          <w:rFonts w:ascii="Times New Roman" w:hAnsi="Times New Roman"/>
          <w:b/>
          <w:i w:val="false"/>
          <w:color w:val="000000"/>
          <w:sz w:val="22"/>
        </w:rPr>
        <w:t>亏损11635.73万元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。单三季度：收入</w:t>
      </w:r>
      <w:r>
        <w:rPr>
          <w:rFonts w:ascii="Times New Roman" w:hAnsi="Times New Roman"/>
          <w:b/>
          <w:i w:val="false"/>
          <w:color w:val="000000"/>
          <w:sz w:val="22"/>
        </w:rPr>
        <w:t>1.89亿元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，归母净利润**-3023.56万元**。（该信息发布日期为20251110）（该信息发布日期为20251112）（该信息发布日期为无）（该信息发布日期为无） 公司三季报披露完成（标题披露），对应时点：2025年第三季度报告。（该信息发布日期为20251027）</w:t>
      </w:r>
    </w:p>
    <w:p>
      <w:pPr>
        <w:spacing w:before="269" w:after="269"/>
        <w:ind w:left="1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历史收入与利润趋势参考图（至2025Q1）： </w:t>
      </w:r>
      <w:r>
        <w:drawing>
          <wp:inline distT="0" distB="0" distL="0" distR="0">
            <wp:extent cx="5732145" cy="3716179"/>
            <wp:effectExtent l="0" t="0" r="0" b="0"/>
            <wp:docPr id="2" name="" descr="来源：华盛锂电公司公告，国金证券研究所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71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（该信息发布日期为20250819） </w:t>
      </w:r>
      <w:r>
        <w:drawing>
          <wp:inline distT="0" distB="0" distL="0" distR="0">
            <wp:extent cx="5732145" cy="3838045"/>
            <wp:effectExtent l="0" t="0" r="0" b="0"/>
            <wp:docPr id="3" name="" descr="来源：华盛锂电公司公告，国金证券研究所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false"/>
          <w:i w:val="false"/>
          <w:color w:val="000000"/>
          <w:sz w:val="22"/>
        </w:rPr>
        <w:t xml:space="preserve"> （该信息发布日期为20250819）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价格与行业景气变动（对标主业）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：多份机构观点显示，</w:t>
      </w:r>
      <w:r>
        <w:rPr>
          <w:rFonts w:ascii="Times New Roman" w:hAnsi="Times New Roman"/>
          <w:b/>
          <w:i w:val="false"/>
          <w:color w:val="000000"/>
          <w:sz w:val="22"/>
        </w:rPr>
        <w:t>VC报价已由4–5万元/吨上行至6万元/吨、出现7万元/吨订单，预计至11月底可见8万元/吨，部分企业喊出10万元/吨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；2025年VC行业有效供给7.7–7.8万吨、需求10–11万吨，供需偏紧；2026年供需或仍紧平衡。（该信息发布日期为20251111） 公司口径也提示价格存在不确定性，采取</w:t>
      </w:r>
      <w:r>
        <w:rPr>
          <w:rFonts w:ascii="Times New Roman" w:hAnsi="Times New Roman"/>
          <w:b/>
          <w:i w:val="false"/>
          <w:color w:val="000000"/>
          <w:sz w:val="22"/>
        </w:rPr>
        <w:t>随行就市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定价。（该信息发布日期为20251110）（该信息发布日期为20251110）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产能与项目投产进展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：公司披露目前VC、FEC合计年产能</w:t>
      </w:r>
      <w:r>
        <w:rPr>
          <w:rFonts w:ascii="Times New Roman" w:hAnsi="Times New Roman"/>
          <w:b/>
          <w:i w:val="false"/>
          <w:color w:val="000000"/>
          <w:sz w:val="22"/>
        </w:rPr>
        <w:t>1.4万吨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（募投三期建成后），并推进</w:t>
      </w:r>
      <w:r>
        <w:rPr>
          <w:rFonts w:ascii="Times New Roman" w:hAnsi="Times New Roman"/>
          <w:b/>
          <w:i w:val="false"/>
          <w:color w:val="000000"/>
          <w:sz w:val="22"/>
        </w:rPr>
        <w:t>湖北云梦6万吨VC项目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（一期3万吨），子公司</w:t>
      </w:r>
      <w:r>
        <w:rPr>
          <w:rFonts w:ascii="Times New Roman" w:hAnsi="Times New Roman"/>
          <w:b/>
          <w:i w:val="false"/>
          <w:color w:val="000000"/>
          <w:sz w:val="22"/>
        </w:rPr>
        <w:t>祥和新能源CEC（氯代碳酸乙烯酯）一期已试产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，为VC提供中间体保障。（该信息发布日期为20251110）（该信息发布日期为20251112）（该信息发布日期为20251110） 同时，公司“</w:t>
      </w:r>
      <w:r>
        <w:rPr>
          <w:rFonts w:ascii="Times New Roman" w:hAnsi="Times New Roman"/>
          <w:b/>
          <w:i w:val="false"/>
          <w:color w:val="000000"/>
          <w:sz w:val="22"/>
        </w:rPr>
        <w:t>新建年产500吨LiDFOB、2000吨MMDS项目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”与“</w:t>
      </w:r>
      <w:r>
        <w:rPr>
          <w:rFonts w:ascii="Times New Roman" w:hAnsi="Times New Roman"/>
          <w:b/>
          <w:i w:val="false"/>
          <w:color w:val="000000"/>
          <w:sz w:val="22"/>
        </w:rPr>
        <w:t>年产20万吨低能耗高性能负极材料（一期5万吨）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</w:t>
      </w:r>
      <w:r>
        <w:rPr>
          <w:rFonts w:ascii="Times New Roman" w:hAnsi="Times New Roman"/>
          <w:b/>
          <w:i w:val="false"/>
          <w:color w:val="000000"/>
          <w:sz w:val="22"/>
        </w:rPr>
        <w:t>已进入试生产和客户评价阶段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；“</w:t>
      </w:r>
      <w:r>
        <w:rPr>
          <w:rFonts w:ascii="Times New Roman" w:hAnsi="Times New Roman"/>
          <w:b/>
          <w:i w:val="false"/>
          <w:color w:val="000000"/>
          <w:sz w:val="22"/>
        </w:rPr>
        <w:t>年产3000吨LiTFSI项目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”在建推进。（该信息发布日期为20251112）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固态电池材料进展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：公司建成</w:t>
      </w:r>
      <w:r>
        <w:rPr>
          <w:rFonts w:ascii="Times New Roman" w:hAnsi="Times New Roman"/>
          <w:b/>
          <w:i w:val="false"/>
          <w:color w:val="000000"/>
          <w:sz w:val="22"/>
        </w:rPr>
        <w:t>年产2吨高纯硫化锂中试线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，正与下游进行技术验证，尚未产业化与形成收入；并宣布与</w:t>
      </w:r>
      <w:r>
        <w:rPr>
          <w:rFonts w:ascii="Times New Roman" w:hAnsi="Times New Roman"/>
          <w:b/>
          <w:i w:val="false"/>
          <w:color w:val="000000"/>
          <w:sz w:val="22"/>
        </w:rPr>
        <w:t>蜂巢能源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签署</w:t>
      </w:r>
      <w:r>
        <w:rPr>
          <w:rFonts w:ascii="Times New Roman" w:hAnsi="Times New Roman"/>
          <w:b/>
          <w:i w:val="false"/>
          <w:color w:val="000000"/>
          <w:sz w:val="22"/>
        </w:rPr>
        <w:t>硫化物固态电解质材料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战略合作，目标推动硫化物电解质降本与产业化落地。（该信息发布日期为20251110）（该信息发布日期为20251026）（该信息发布日期为20251019）（该信息发布日期为20251026）（该信息发布日期为20251026）（该信息发布日期为20251026）（该信息发布日期为20251018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异常波动与投资者关系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11月7日、11日、14日先后发布**（严重）异常波动公告**；多家机构于11月7日对公司进行集中调研（中信、华商、太平、华创等），公司同步披露多项项目进展与定价策略。（该信息发布日期为20251107）（该信息发布日期为20251111）（该信息发布日期为20251114）（该信息发布日期为20251111） 股价阶段表现：10/31至11/13期间多次单日涨幅≥20%，收盘价由65.04元上行至120元。（该信息发布日期为无）（该信息发布日期为无）</w:t>
      </w:r>
    </w:p>
    <w:p>
      <w:pPr>
        <w:numPr>
          <w:ilvl w:val="0"/>
          <w:numId w:val="3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再融资与回购/股东减持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：公司披露</w:t>
      </w:r>
      <w:r>
        <w:rPr>
          <w:rFonts w:ascii="Times New Roman" w:hAnsi="Times New Roman"/>
          <w:b/>
          <w:i w:val="false"/>
          <w:color w:val="000000"/>
          <w:sz w:val="22"/>
        </w:rPr>
        <w:t>目前暂无再融资规划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；10/10与11/05分别披露</w:t>
      </w:r>
      <w:r>
        <w:rPr>
          <w:rFonts w:ascii="Times New Roman" w:hAnsi="Times New Roman"/>
          <w:b/>
          <w:i w:val="false"/>
          <w:color w:val="000000"/>
          <w:sz w:val="22"/>
        </w:rPr>
        <w:t>回购股份进展公告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11/04发布股东减持计划公告、11/08发布减持结果公告（细节以公告为准）。（该信息发布日期为20251110）（该信息发布日期为20251010）（该信息发布日期为20251105）（该信息发布日期为20251104）（该信息发布日期为20251108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3. 正在筹备/刚推进、具备增量潜力的业务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VC扩产链条与成本优化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湖北云梦</w:t>
      </w:r>
      <w:r>
        <w:rPr>
          <w:rFonts w:ascii="Times New Roman" w:hAnsi="Times New Roman"/>
          <w:b/>
          <w:i w:val="false"/>
          <w:color w:val="000000"/>
          <w:sz w:val="22"/>
        </w:rPr>
        <w:t>6万吨VC项目（一期3万吨）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，与上游</w:t>
      </w:r>
      <w:r>
        <w:rPr>
          <w:rFonts w:ascii="Times New Roman" w:hAnsi="Times New Roman"/>
          <w:b/>
          <w:i w:val="false"/>
          <w:color w:val="000000"/>
          <w:sz w:val="22"/>
        </w:rPr>
        <w:t>CEC中间体一期已试产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形成配套，官方表述将采用</w:t>
      </w:r>
      <w:r>
        <w:rPr>
          <w:rFonts w:ascii="Times New Roman" w:hAnsi="Times New Roman"/>
          <w:b/>
          <w:i w:val="false"/>
          <w:color w:val="000000"/>
          <w:sz w:val="22"/>
        </w:rPr>
        <w:t>先进工艺与设备方案、缩短流程、提升纯化效率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，实现产率/收率提升与成本下降，增强竞争力。（该信息发布日期为20251110）（该信息发布日期为20251112）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新型添加剂与锂盐项目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“</w:t>
      </w:r>
      <w:r>
        <w:rPr>
          <w:rFonts w:ascii="Times New Roman" w:hAnsi="Times New Roman"/>
          <w:b/>
          <w:i w:val="false"/>
          <w:color w:val="000000"/>
          <w:sz w:val="22"/>
        </w:rPr>
        <w:t>年产500吨LiDFOB、2000吨MMDS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”项目已进入</w:t>
      </w:r>
      <w:r>
        <w:rPr>
          <w:rFonts w:ascii="Times New Roman" w:hAnsi="Times New Roman"/>
          <w:b/>
          <w:i w:val="false"/>
          <w:color w:val="000000"/>
          <w:sz w:val="22"/>
        </w:rPr>
        <w:t>试生产+客户评价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阶段；“</w:t>
      </w:r>
      <w:r>
        <w:rPr>
          <w:rFonts w:ascii="Times New Roman" w:hAnsi="Times New Roman"/>
          <w:b/>
          <w:i w:val="false"/>
          <w:color w:val="000000"/>
          <w:sz w:val="22"/>
        </w:rPr>
        <w:t>年产3000吨LiTFSI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”项目在建推进，有望丰富产品结构、对接半固态/高电压体系需求。（该信息发布日期为20251112）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固态材料平台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2吨/年硫化锂中试线</w:t>
      </w:r>
      <w:r>
        <w:rPr>
          <w:rFonts w:ascii="Times New Roman" w:hAnsi="Times New Roman"/>
          <w:b w:val="false"/>
          <w:i w:val="false"/>
          <w:color w:val="000000"/>
          <w:sz w:val="22"/>
        </w:rPr>
        <w:t>用于客户验证；与</w:t>
      </w:r>
      <w:r>
        <w:rPr>
          <w:rFonts w:ascii="Times New Roman" w:hAnsi="Times New Roman"/>
          <w:b/>
          <w:i w:val="false"/>
          <w:color w:val="000000"/>
          <w:sz w:val="22"/>
        </w:rPr>
        <w:t>蜂巢能源</w:t>
      </w:r>
      <w:r>
        <w:rPr>
          <w:rFonts w:ascii="Times New Roman" w:hAnsi="Times New Roman"/>
          <w:b w:val="false"/>
          <w:i w:val="false"/>
          <w:color w:val="000000"/>
          <w:sz w:val="22"/>
        </w:rPr>
        <w:t>联动推进</w:t>
      </w:r>
      <w:r>
        <w:rPr>
          <w:rFonts w:ascii="Times New Roman" w:hAnsi="Times New Roman"/>
          <w:b/>
          <w:i w:val="false"/>
          <w:color w:val="000000"/>
          <w:sz w:val="22"/>
        </w:rPr>
        <w:t>硫化物固态电解质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降本（行业口径：目标由“&gt;1000万元/吨”显著下调），打开全固态材料产业化预期通道。（该信息发布日期为20251110）（该信息发布日期为20251026）（该信息发布日期为20251026）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负极材料平台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年产20万吨低能耗高性能负极材料项目（一期5万吨）</w:t>
      </w:r>
      <w:r>
        <w:rPr>
          <w:rFonts w:ascii="Times New Roman" w:hAnsi="Times New Roman"/>
          <w:b/>
          <w:i w:val="false"/>
          <w:color w:val="000000"/>
          <w:sz w:val="22"/>
        </w:rPr>
        <w:t>进入</w:t>
      </w:r>
      <w:r>
        <w:rPr>
          <w:rFonts w:ascii="Times New Roman" w:hAnsi="Times New Roman"/>
          <w:b/>
          <w:i w:val="false"/>
          <w:color w:val="000000"/>
          <w:sz w:val="22"/>
        </w:rPr>
        <w:t>试生产与客户评价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阶段，并同步搭建</w:t>
      </w:r>
      <w:r>
        <w:rPr>
          <w:rFonts w:ascii="Times New Roman" w:hAnsi="Times New Roman"/>
          <w:b/>
          <w:i w:val="false"/>
          <w:color w:val="000000"/>
          <w:sz w:val="22"/>
        </w:rPr>
        <w:t>1000吨硅碳负极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产线与</w:t>
      </w:r>
      <w:r>
        <w:rPr>
          <w:rFonts w:ascii="Times New Roman" w:hAnsi="Times New Roman"/>
          <w:b/>
          <w:i w:val="false"/>
          <w:color w:val="000000"/>
          <w:sz w:val="22"/>
        </w:rPr>
        <w:t>25吨单壁导电浆料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，形成“添加剂+负极+导电剂”多点布局雏形。（该信息发布日期为20251112）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危废焚烧与资源化中心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</w:t>
      </w:r>
    </w:p>
    <w:p>
      <w:pPr>
        <w:numPr>
          <w:ilvl w:val="0"/>
          <w:numId w:val="4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年处理144,000吨固液气综合危废焚烧处置&amp;资源化循环利用中心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在建，有望为化工园区与公司自身生产配套提供环保处理增量。（该信息发布日期为20251112）</w:t>
      </w:r>
    </w:p>
    <w:p>
      <w:pPr>
        <w:spacing w:before="269" w:after="269"/>
        <w:ind w:left="7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小结：上述项目多数处于“试产/客户验证/在建推进”阶段，对应的是2026年前后集中释放的中短期业绩弹性预期而非已实现收入。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4. 新订单与在手需求</w:t>
      </w:r>
    </w:p>
    <w:p>
      <w:pPr>
        <w:numPr>
          <w:ilvl w:val="0"/>
          <w:numId w:val="5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公司披露“</w:t>
      </w:r>
      <w:r>
        <w:rPr>
          <w:rFonts w:ascii="Times New Roman" w:hAnsi="Times New Roman"/>
          <w:b/>
          <w:i w:val="false"/>
          <w:color w:val="000000"/>
          <w:sz w:val="22"/>
        </w:rPr>
        <w:t>产能利用率一直保持在较高水平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”，与电解液头部厂商“</w:t>
      </w:r>
      <w:r>
        <w:rPr>
          <w:rFonts w:ascii="Times New Roman" w:hAnsi="Times New Roman"/>
          <w:b/>
          <w:i w:val="false"/>
          <w:color w:val="000000"/>
          <w:sz w:val="22"/>
        </w:rPr>
        <w:t>建立良好合作关系，对公司产品具有持续稳定的需求</w:t>
      </w:r>
      <w:r>
        <w:rPr>
          <w:rFonts w:ascii="Times New Roman" w:hAnsi="Times New Roman"/>
          <w:b w:val="false"/>
          <w:i w:val="false"/>
          <w:color w:val="000000"/>
          <w:sz w:val="22"/>
        </w:rPr>
        <w:t>”；但</w:t>
      </w:r>
      <w:r>
        <w:rPr>
          <w:rFonts w:ascii="Times New Roman" w:hAnsi="Times New Roman"/>
          <w:b/>
          <w:i w:val="false"/>
          <w:color w:val="000000"/>
          <w:sz w:val="22"/>
        </w:rPr>
        <w:t>未披露具体新订单/金额/客户名称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，因此具体订单信息</w:t>
      </w:r>
      <w:r>
        <w:rPr>
          <w:rFonts w:ascii="Times New Roman" w:hAnsi="Times New Roman"/>
          <w:b/>
          <w:i w:val="false"/>
          <w:color w:val="000000"/>
          <w:sz w:val="22"/>
        </w:rPr>
        <w:t>不清楚</w:t>
      </w:r>
      <w:r>
        <w:rPr>
          <w:rFonts w:ascii="Times New Roman" w:hAnsi="Times New Roman"/>
          <w:b w:val="false"/>
          <w:i w:val="false"/>
          <w:color w:val="000000"/>
          <w:sz w:val="22"/>
        </w:rPr>
        <w:t>。（该信息发布日期为20251110）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5. 外部新闻/公众号/论坛提到的潜在业务与市场预期（非公司口径）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材料涨价主题延续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：多家卖方观点强调六氟磷酸锂与VC等添加剂处于</w:t>
      </w:r>
      <w:r>
        <w:rPr>
          <w:rFonts w:ascii="Times New Roman" w:hAnsi="Times New Roman"/>
          <w:b/>
          <w:i w:val="false"/>
          <w:color w:val="000000"/>
          <w:sz w:val="22"/>
        </w:rPr>
        <w:t>供需逆转/涨价</w:t>
      </w:r>
      <w:r>
        <w:rPr>
          <w:rFonts w:ascii="Times New Roman" w:hAnsi="Times New Roman"/>
          <w:b w:val="false"/>
          <w:i w:val="false"/>
          <w:color w:val="000000"/>
          <w:sz w:val="22"/>
        </w:rPr>
        <w:t>通道，预计VC价格在短期到年底继续上行、行业紧平衡延续至明年；并将华盛锂电列为“添加剂主推/重点关注标的”。上述观点是</w:t>
      </w:r>
      <w:r>
        <w:rPr>
          <w:rFonts w:ascii="Times New Roman" w:hAnsi="Times New Roman"/>
          <w:b/>
          <w:i w:val="false"/>
          <w:color w:val="000000"/>
          <w:sz w:val="22"/>
        </w:rPr>
        <w:t>外部机构判断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，并非公司业绩指引。（该信息发布日期为20251029）（该信息发布日期为20251106）（该信息发布日期为20251109）（该信息发布日期为20251110）（该信息发布日期为20251111）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业绩弹性测算（外部观点）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：有券商与市场评论预测在不同VC/FEC价格情景下公司</w:t>
      </w:r>
      <w:r>
        <w:rPr>
          <w:rFonts w:ascii="Times New Roman" w:hAnsi="Times New Roman"/>
          <w:b/>
          <w:i w:val="false"/>
          <w:color w:val="000000"/>
          <w:sz w:val="22"/>
        </w:rPr>
        <w:t>2026年净利润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或达个位数至十亿元级区间，但均为</w:t>
      </w:r>
      <w:r>
        <w:rPr>
          <w:rFonts w:ascii="Times New Roman" w:hAnsi="Times New Roman"/>
          <w:b/>
          <w:i w:val="false"/>
          <w:color w:val="000000"/>
          <w:sz w:val="22"/>
        </w:rPr>
        <w:t>第三方测算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，需谨慎对待。（该信息发布日期为20251109）（该信息发布日期为20251109）（该信息发布日期为20251109）</w:t>
      </w:r>
    </w:p>
    <w:p>
      <w:pPr>
        <w:numPr>
          <w:ilvl w:val="0"/>
          <w:numId w:val="6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固态电池政策与产业催化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：行业周报提及11–12月为固态板块</w:t>
      </w:r>
      <w:r>
        <w:rPr>
          <w:rFonts w:ascii="Times New Roman" w:hAnsi="Times New Roman"/>
          <w:b/>
          <w:i w:val="false"/>
          <w:color w:val="000000"/>
          <w:sz w:val="22"/>
        </w:rPr>
        <w:t>值得重视时间窗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；部分“中期审查/走访评估”等事件驱动可能作为短期催化，提升固态链热度。该类信息为</w:t>
      </w:r>
      <w:r>
        <w:rPr>
          <w:rFonts w:ascii="Times New Roman" w:hAnsi="Times New Roman"/>
          <w:b/>
          <w:i w:val="false"/>
          <w:color w:val="000000"/>
          <w:sz w:val="22"/>
        </w:rPr>
        <w:t>行业层面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，非公司公告。（该信息发布日期为20251026）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6. 业务进展与市场热点的映射：本轮股价上行的可能成因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添加剂涨价与供需修复主线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行业多来源显示VC价格抬升、供需偏紧，公司披露采取“随行就市”定价与扩产/降本方案；市场往往将“涨价周期 + 产能落地 + 工艺优化”的组合视为</w:t>
      </w:r>
      <w:r>
        <w:rPr>
          <w:rFonts w:ascii="Times New Roman" w:hAnsi="Times New Roman"/>
          <w:b/>
          <w:i w:val="false"/>
          <w:color w:val="000000"/>
          <w:sz w:val="22"/>
        </w:rPr>
        <w:t>最强业绩弹性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来源，对应估值与股价的β抬升。（该信息发布日期为20251111）（该信息发布日期为20251110）（该信息发布日期为20251110）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固态电池催化主线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公司与蜂巢能源的</w:t>
      </w:r>
      <w:r>
        <w:rPr>
          <w:rFonts w:ascii="Times New Roman" w:hAnsi="Times New Roman"/>
          <w:b/>
          <w:i w:val="false"/>
          <w:color w:val="000000"/>
          <w:sz w:val="22"/>
        </w:rPr>
        <w:t>硫化物固态电解质战略合作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以及</w:t>
      </w:r>
      <w:r>
        <w:rPr>
          <w:rFonts w:ascii="Times New Roman" w:hAnsi="Times New Roman"/>
          <w:b/>
          <w:i w:val="false"/>
          <w:color w:val="000000"/>
          <w:sz w:val="22"/>
        </w:rPr>
        <w:t>2吨/年高纯硫化锂中试</w:t>
      </w:r>
      <w:r>
        <w:rPr>
          <w:rFonts w:ascii="Times New Roman" w:hAnsi="Times New Roman"/>
          <w:b w:val="false"/>
          <w:i w:val="false"/>
          <w:color w:val="000000"/>
          <w:sz w:val="22"/>
        </w:rPr>
        <w:t>启动验证，使其获得“固态材料卡位”的</w:t>
      </w:r>
      <w:r>
        <w:rPr>
          <w:rFonts w:ascii="Times New Roman" w:hAnsi="Times New Roman"/>
          <w:b/>
          <w:i w:val="false"/>
          <w:color w:val="000000"/>
          <w:sz w:val="22"/>
        </w:rPr>
        <w:t>α预期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，叠加行业对固态材料降本与中试线加速的关注，带来主题溢价。（该信息发布日期为20251026）（该信息发布日期为20251110）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机构关注与交易热度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多家机构密集调研，公司连续发布异常/严重异常波动公告，叠加二级市场多日大幅上涨，</w:t>
      </w:r>
      <w:r>
        <w:rPr>
          <w:rFonts w:ascii="Times New Roman" w:hAnsi="Times New Roman"/>
          <w:b/>
          <w:i w:val="false"/>
          <w:color w:val="000000"/>
          <w:sz w:val="22"/>
        </w:rPr>
        <w:t>资金面与情绪面正反馈</w:t>
      </w:r>
      <w:r>
        <w:rPr>
          <w:rFonts w:ascii="Times New Roman" w:hAnsi="Times New Roman"/>
          <w:b w:val="false"/>
          <w:i w:val="false"/>
          <w:color w:val="000000"/>
          <w:sz w:val="22"/>
        </w:rPr>
        <w:t>显著。（该信息发布日期为20251111）（该信息发布日期为20251111）（该信息发布日期为20251114）（该信息发布日期为无）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其他边际因素</w:t>
      </w:r>
    </w:p>
    <w:p>
      <w:pPr>
        <w:numPr>
          <w:ilvl w:val="0"/>
          <w:numId w:val="7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公司披露</w:t>
      </w:r>
      <w:r>
        <w:rPr>
          <w:rFonts w:ascii="Times New Roman" w:hAnsi="Times New Roman"/>
          <w:b/>
          <w:i w:val="false"/>
          <w:color w:val="000000"/>
          <w:sz w:val="22"/>
        </w:rPr>
        <w:t>暂无再融资</w:t>
      </w:r>
      <w:r>
        <w:rPr>
          <w:rFonts w:ascii="Times New Roman" w:hAnsi="Times New Roman"/>
          <w:b w:val="false"/>
          <w:i w:val="false"/>
          <w:color w:val="000000"/>
          <w:sz w:val="22"/>
        </w:rPr>
        <w:t>与持续推进</w:t>
      </w:r>
      <w:r>
        <w:rPr>
          <w:rFonts w:ascii="Times New Roman" w:hAnsi="Times New Roman"/>
          <w:b/>
          <w:i w:val="false"/>
          <w:color w:val="000000"/>
          <w:sz w:val="22"/>
        </w:rPr>
        <w:t>股份回购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，一定程度上减轻了“供给端压力/股权风险偏好”顾虑，边际利好估值与资金风险偏好。（该信息发布日期为20251110）（该信息发布日期为20251105）（该信息发布日期为20251010）</w:t>
      </w:r>
    </w:p>
    <w:p>
      <w:pPr>
        <w:spacing w:before="269" w:after="269"/>
        <w:ind w:left="72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归纳：本轮股价上行与公司“添加剂涨价周期中的量本并举”“固态电池链条的卡位预期”“机构密集调研带来的资金热度”三因素协同相关，且与当下市场“材料涨价/固态电池”两大投资主线高度一致。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7. 风险与与市场不同的观点（审慎提示）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当前盈利基底仍偏弱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2025年前三季度公司仍亏损，单三季度归母净利润为-3023.56万元；部分三方统计显示公司三季度毛利率为-2.31%（第三方口径，需以公司正式报表为准）。若涨价与扩产兑现不及预期，短期业绩修复或不及市场乐观预期。（该信息发布日期为20251110）（该信息发布日期为无）（该信息发布日期为20251111）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价格与供给的不确定性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公司亦提示添加剂价格“受市场因素及其他不可预测因素影响较大，存在不确定性”；同时行业新增产能节奏、开工提升与技术替代，均可能影响价格曲线与利润弹性。（该信息发布日期为20251110）（该信息发布日期为20251110）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项目进度与客户验证风险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：多项新业务仍处于“试产/客户评价”阶段，距离规模化量产与盈利贡献仍需时间与客户认证，投资节奏需结合进度节点审慎评估。（该信息发布日期为20251112）</w:t>
      </w:r>
    </w:p>
    <w:p>
      <w:pPr>
        <w:numPr>
          <w:ilvl w:val="0"/>
          <w:numId w:val="8"/>
        </w:numPr>
        <w:spacing w:before="0" w:after="0"/>
        <w:jc w:val="left"/>
      </w:pPr>
      <w:r>
        <w:rPr>
          <w:rFonts w:ascii="Times New Roman" w:hAnsi="Times New Roman"/>
          <w:b/>
          <w:i w:val="false"/>
          <w:color w:val="000000"/>
          <w:sz w:val="22"/>
        </w:rPr>
        <w:t>股东减持与交易波动</w:t>
      </w:r>
      <w:r>
        <w:rPr>
          <w:rFonts w:ascii="Times New Roman" w:hAnsi="Times New Roman"/>
          <w:b w:val="false"/>
          <w:i w:val="false"/>
          <w:color w:val="000000"/>
          <w:sz w:val="22"/>
        </w:rPr>
        <w:t>：短期内公司披露过股东减持计划与结果公告，且近期股价波动加大，应关注潜在的交易风险与波动放大效应。（该信息发布日期为20251104）（该信息发布日期为20251108）（该信息发布日期为20251114）</w:t>
      </w:r>
    </w:p>
    <w:p>
      <w:pPr>
        <w:spacing w:before="180" w:after="180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33"/>
        </w:rPr>
        <w:t>8. 关键信息要点表（摘要）</w:t>
      </w:r>
    </w:p>
    <w:tbl>
      <w:tblPr>
        <w:tblW w:w="0" w:type="auto"/>
        <w:tblCellSpacing w:w="0" w:type="auto"/>
        <w:tblInd w:w="115" w:type="dxa"/>
        <w:tblBorders>
          <w:top w:val="single" w:color="aaaaaa" w:sz="8"/>
          <w:left w:val="single" w:color="aaaaaa" w:sz="8"/>
          <w:bottom w:val="single" w:color="aaaaaa" w:sz="8"/>
          <w:right w:val="single" w:color="aaaaaa" w:sz="8"/>
          <w:insideH w:val="none"/>
          <w:insideV w:val="none"/>
        </w:tblBorders>
      </w:tblPr>
      <w:tblGrid>
        <w:gridCol w:w="939"/>
        <w:gridCol w:w="5111"/>
        <w:gridCol w:w="2933"/>
        <w:gridCol w:w="1731"/>
        <w:gridCol w:w="2920"/>
      </w:tblGrid>
      <w:tr>
        <w:trPr>
          <w:trHeight w:val="525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模块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关键信息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状态/数据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可能影响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/>
                <w:i w:val="false"/>
                <w:color w:val="000000"/>
                <w:sz w:val="22"/>
              </w:rPr>
              <w:t>依据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主营与定位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电解液添加剂（VC/FEC），布局固态材料与负极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年产能合计1.4万吨；多项目在试产/在建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业绩弹性与产品矩阵扩张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（20251110）（20251112）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价格/供需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VC价格抬升、行业紧平衡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已见6–7万/吨，机构称有望8–10万/吨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利润改善预期上修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（20251111）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扩产与降本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湖北云梦6万吨VC（一期3万吨）；CEC中间体一期试产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短流程/纯化效率提升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成本下降、份额提升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（20251110）（20251112）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新品线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LiDFOB 500吨、MMDS 2000吨；LiTFSI 3000吨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试生产+客户评价/在建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增厚产品组合与议价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（20251112）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固态材料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2吨/年硫化锂中试；与蜂巢能源战略合作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客户验证/降本协同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固态卡位预期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（20251110）（20251026）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负极平台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20万吨负极（一期5万吨）试产+客户评价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与硅碳/导电剂联动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第二增长曲线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（20251112）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投资者互动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机构密集调研；异常波动公告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交易与情绪升温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资金面正反馈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（20251111）（20251114）</w:t>
            </w:r>
          </w:p>
        </w:tc>
      </w:tr>
      <w:tr>
        <w:trPr>
          <w:trHeight w:val="780" w:hRule="atLeast"/>
        </w:trPr>
        <w:tc>
          <w:tcPr>
            <w:tcW w:w="939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风险</w:t>
            </w:r>
          </w:p>
        </w:tc>
        <w:tc>
          <w:tcPr>
            <w:tcW w:w="511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盈利基底弱/价格波动/项目验证</w:t>
            </w:r>
          </w:p>
        </w:tc>
        <w:tc>
          <w:tcPr>
            <w:tcW w:w="2933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三季仍亏；价格不确定</w:t>
            </w:r>
          </w:p>
        </w:tc>
        <w:tc>
          <w:tcPr>
            <w:tcW w:w="1731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兑现节奏不及预期</w:t>
            </w:r>
          </w:p>
        </w:tc>
        <w:tc>
          <w:tcPr>
            <w:tcW w:w="2920" w:type="dxa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  <w:ind w:left="0"/>
              <w:jc w:val="left"/>
            </w:pPr>
            <w:r>
              <w:rPr>
                <w:rFonts w:ascii="Times New Roman" w:hAnsi="Times New Roman"/>
                <w:b w:val="false"/>
                <w:i w:val="false"/>
                <w:color w:val="000000"/>
                <w:sz w:val="22"/>
              </w:rPr>
              <w:t>（20251110）（20251110）</w:t>
            </w:r>
          </w:p>
        </w:tc>
      </w:tr>
    </w:tbl>
    <w:p>
      <w:pPr>
        <w:spacing w:before="161" w:after="161"/>
        <w:ind w:left="120"/>
        <w:jc w:val="left"/>
      </w:pPr>
      <w:r>
        <w:rPr>
          <w:rFonts w:ascii="Times New Roman" w:hAnsi="Times New Roman"/>
          <w:b/>
          <w:i w:val="false"/>
          <w:color w:val="000000"/>
          <w:sz w:val="44"/>
        </w:rPr>
        <w:t>【可能延伸的思考维度】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针对VC与FEC两条产线，请分情景测算2026年在不同价格/产销量与成本曲线下的利润区间，并与扩产完全达产/部分达产对比（给出关键敏感参数表）。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梳理公司在固态材料（硫化锂/硫化物电解质）从中试到产业化的关键里程碑、设备与良率约束，列出与蜂巢能源协同降本的技术与供应链路径图。</w:t>
      </w:r>
    </w:p>
    <w:p>
      <w:pPr>
        <w:numPr>
          <w:ilvl w:val="0"/>
          <w:numId w:val="9"/>
        </w:numPr>
        <w:spacing w:before="0" w:after="0"/>
        <w:jc w:val="left"/>
      </w:pPr>
      <w:r>
        <w:rPr>
          <w:rFonts w:ascii="Times New Roman" w:hAnsi="Times New Roman"/>
          <w:b w:val="false"/>
          <w:i w:val="false"/>
          <w:color w:val="000000"/>
          <w:sz w:val="22"/>
        </w:rPr>
        <w:t>按季度跟踪“VC行业有效供给、需求与价格”与“公司扩产与认证进度”，建立领先指标看板，辅助交易节奏与仓位管理。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media/document_image_rId4.jpeg" Type="http://schemas.openxmlformats.org/officeDocument/2006/relationships/image" Id="rId4"/>
    <Relationship Target="media/document_image_rId5.jpeg" Type="http://schemas.openxmlformats.org/officeDocument/2006/relationships/image" Id="rId5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