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9 (Apache licensed) using REFERENCE JAXB in Oracle Java 1.8.0_321 on Linux -->
    <w:p>
      <w:pPr>
        <w:spacing w:before="300" w:after="300"/>
        <w:ind w:left="120"/>
        <w:jc w:val="center"/>
      </w:pPr>
      <w:r>
        <w:rPr>
          <w:rFonts w:ascii="Times New Roman" w:hAnsi="Times New Roman"/>
          <w:b/>
          <w:i w:val="false"/>
          <w:color w:val="000000"/>
          <w:sz w:val="30"/>
        </w:rPr>
        <w:t xml:space="preserve"> 你是一位专业的股票研究员，同时兼具很强的... </w:t>
      </w:r>
    </w:p>
    <w:p>
      <w:pPr>
        <w:spacing w:before="180" w:after="180"/>
        <w:ind w:left="120"/>
        <w:jc w:val="left"/>
      </w:pPr>
      <w:r>
        <w:rPr>
          <w:rFonts w:ascii="Times New Roman" w:hAnsi="Times New Roman"/>
          <w:b/>
          <w:i w:val="false"/>
          <w:color w:val="000000"/>
          <w:sz w:val="33"/>
        </w:rPr>
        <w:t>结论（为何近期股价涨幅明显）</w:t>
      </w:r>
    </w:p>
    <w:p>
      <w:pPr>
        <w:numPr>
          <w:ilvl w:val="0"/>
          <w:numId w:val="1"/>
        </w:numPr>
        <w:spacing w:before="0" w:after="0"/>
        <w:jc w:val="left"/>
      </w:pPr>
      <w:r>
        <w:rPr>
          <w:rFonts w:ascii="Times New Roman" w:hAnsi="Times New Roman"/>
          <w:b w:val="false"/>
          <w:i w:val="false"/>
          <w:color w:val="000000"/>
          <w:sz w:val="22"/>
        </w:rPr>
        <w:t>近期股价上行的核心驱动是“基本面与资源价格共振”，叠加公司在铜钴主业扩产与黄金板块并购落地的明确进展：一方面，全球铜供给增速下调与电解铜价格创高，直接抬升公司盈利弹性；另一方面，公司在刚果（金）钴配额环境下的资源与产能优势，以及对Loncor/Adumbi金矿的全资并购与后续一年基建+两年爬坡的投产路径，为中期成长提供新的想象空间；此外，公司股份回购执行、海外平台增资、治理与信息披露制度修订等资本动作，强化了市场对经营稳健与战略聚焦的预期。这些“现有业绩支撑+明确的增量路径+资源价格强势”的组合，显著增强了市场风险偏好与估值重估意愿，形成股价的阶段性上行。（该信息发布日期为20251029/20251103/20251015/20251028/20251024/20251113/20251024）</w:t>
      </w:r>
    </w:p>
    <w:p>
      <w:pPr>
        <w:spacing w:before="269" w:after="269"/>
        <w:ind w:left="120"/>
        <w:jc w:val="left"/>
      </w:pPr>
      <w:r>
        <w:drawing>
          <wp:inline distT="0" distB="0" distL="0" distR="0">
            <wp:extent cx="3333750" cy="2162175"/>
            <wp:effectExtent l="0" t="0" r="0" b="0"/>
            <wp:docPr id="2"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3333750" cy="2162175"/>
                    </a:xfrm>
                    <a:prstGeom prst="rect">
                      <a:avLst/>
                    </a:prstGeom>
                  </pic:spPr>
                </pic:pic>
              </a:graphicData>
            </a:graphic>
          </wp:inline>
        </w:drawing>
      </w:r>
      <w:r>
        <w:rPr>
          <w:rFonts w:ascii="Times New Roman" w:hAnsi="Times New Roman"/>
          <w:b w:val="false"/>
          <w:i w:val="false"/>
          <w:color w:val="000000"/>
          <w:sz w:val="22"/>
        </w:rPr>
        <w:t>（该信息发布日期为20251029）</w:t>
      </w:r>
    </w:p>
    <w:p>
      <w:pPr>
        <w:numPr>
          <w:ilvl w:val="0"/>
          <w:numId w:val="2"/>
        </w:numPr>
        <w:spacing w:before="0" w:after="0"/>
        <w:jc w:val="left"/>
      </w:pPr>
    </w:p>
    <w:p>
      <w:pPr>
        <w:spacing w:before="180" w:after="180"/>
        <w:ind w:left="120"/>
        <w:jc w:val="left"/>
      </w:pPr>
      <w:r>
        <w:rPr>
          <w:rFonts w:ascii="Times New Roman" w:hAnsi="Times New Roman"/>
          <w:b/>
          <w:i w:val="false"/>
          <w:color w:val="000000"/>
          <w:sz w:val="33"/>
        </w:rPr>
        <w:t>1. 公司基本信息（公司名称、行业、主营业务、同类公司、创始人简介等）</w:t>
      </w:r>
    </w:p>
    <w:p>
      <w:pPr>
        <w:numPr>
          <w:ilvl w:val="0"/>
          <w:numId w:val="3"/>
        </w:numPr>
        <w:spacing w:before="0" w:after="0"/>
        <w:jc w:val="left"/>
      </w:pPr>
      <w:r>
        <w:rPr>
          <w:rFonts w:ascii="Times New Roman" w:hAnsi="Times New Roman"/>
          <w:b/>
          <w:i w:val="false"/>
          <w:color w:val="000000"/>
          <w:sz w:val="22"/>
        </w:rPr>
        <w:t>公司与行业</w:t>
      </w:r>
      <w:r>
        <w:rPr>
          <w:rFonts w:ascii="Times New Roman" w:hAnsi="Times New Roman"/>
          <w:b w:val="false"/>
          <w:i w:val="false"/>
          <w:color w:val="000000"/>
          <w:sz w:val="22"/>
        </w:rPr>
        <w:t>：盛屯矿业集团股份有限公司，证券代码600711.SH，行业归属有色金属（公司公告与多篇研究/纪要标题均明确标注）。（该信息发布日期为20251015/20251029）</w:t>
      </w:r>
    </w:p>
    <w:p>
      <w:pPr>
        <w:numPr>
          <w:ilvl w:val="0"/>
          <w:numId w:val="3"/>
        </w:numPr>
        <w:spacing w:before="0" w:after="0"/>
        <w:jc w:val="left"/>
      </w:pPr>
      <w:r>
        <w:rPr>
          <w:rFonts w:ascii="Times New Roman" w:hAnsi="Times New Roman"/>
          <w:b/>
          <w:i w:val="false"/>
          <w:color w:val="000000"/>
          <w:sz w:val="22"/>
        </w:rPr>
        <w:t>成立背景与基本情况</w:t>
      </w:r>
      <w:r>
        <w:rPr>
          <w:rFonts w:ascii="Times New Roman" w:hAnsi="Times New Roman"/>
          <w:b w:val="false"/>
          <w:i w:val="false"/>
          <w:color w:val="000000"/>
          <w:sz w:val="22"/>
        </w:rPr>
        <w:t>：成立于1997年01月14日；注册资本3,090,611,551元人民币；法定代表人熊波；注册地址厦门市翔安区莲亭路836号3#楼101号A单元；员工人数9,191人；实际控制人为</w:t>
      </w:r>
      <w:r>
        <w:rPr>
          <w:rFonts w:ascii="Times New Roman" w:hAnsi="Times New Roman"/>
          <w:b/>
          <w:i w:val="false"/>
          <w:color w:val="000000"/>
          <w:sz w:val="22"/>
        </w:rPr>
        <w:t>姚雄杰</w:t>
      </w:r>
      <w:r>
        <w:rPr>
          <w:rFonts w:ascii="Times New Roman" w:hAnsi="Times New Roman"/>
          <w:b w:val="false"/>
          <w:i w:val="false"/>
          <w:color w:val="000000"/>
          <w:sz w:val="22"/>
        </w:rPr>
        <w:t>。（该信息发布日期为20250915）</w:t>
      </w:r>
    </w:p>
    <w:p>
      <w:pPr>
        <w:numPr>
          <w:ilvl w:val="0"/>
          <w:numId w:val="3"/>
        </w:numPr>
        <w:spacing w:before="0" w:after="0"/>
        <w:jc w:val="left"/>
      </w:pPr>
      <w:r>
        <w:rPr>
          <w:rFonts w:ascii="Times New Roman" w:hAnsi="Times New Roman"/>
          <w:b/>
          <w:i w:val="false"/>
          <w:color w:val="000000"/>
          <w:sz w:val="22"/>
        </w:rPr>
        <w:t>主营业务</w:t>
      </w:r>
      <w:r>
        <w:rPr>
          <w:rFonts w:ascii="Times New Roman" w:hAnsi="Times New Roman"/>
          <w:b w:val="false"/>
          <w:i w:val="false"/>
          <w:color w:val="000000"/>
          <w:sz w:val="22"/>
        </w:rPr>
        <w:t>：能源金属业务、基本金属业务、金属贸易业务。（该信息发布日期为20250915）</w:t>
      </w:r>
    </w:p>
    <w:p>
      <w:pPr>
        <w:numPr>
          <w:ilvl w:val="0"/>
          <w:numId w:val="3"/>
        </w:numPr>
        <w:spacing w:before="0" w:after="0"/>
        <w:jc w:val="left"/>
      </w:pPr>
      <w:r>
        <w:rPr>
          <w:rFonts w:ascii="Times New Roman" w:hAnsi="Times New Roman"/>
          <w:b/>
          <w:i w:val="false"/>
          <w:color w:val="000000"/>
          <w:sz w:val="22"/>
        </w:rPr>
        <w:t>同类/对标公司（纪要与行业观点涉及）</w:t>
      </w:r>
      <w:r>
        <w:rPr>
          <w:rFonts w:ascii="Times New Roman" w:hAnsi="Times New Roman"/>
          <w:b w:val="false"/>
          <w:i w:val="false"/>
          <w:color w:val="000000"/>
          <w:sz w:val="22"/>
        </w:rPr>
        <w:t>：洛阳钼业、华友钴业、紫金矿业等（公司自述与卖方交流纪要多次提及，钴配额排名、黄金板块学习目标、行业地位对比）。（该信息发布日期为20251016/20251016/20251020）</w:t>
      </w:r>
    </w:p>
    <w:p>
      <w:pPr>
        <w:numPr>
          <w:ilvl w:val="0"/>
          <w:numId w:val="3"/>
        </w:numPr>
        <w:spacing w:before="0" w:after="0"/>
        <w:jc w:val="left"/>
      </w:pPr>
      <w:r>
        <w:rPr>
          <w:rFonts w:ascii="Times New Roman" w:hAnsi="Times New Roman"/>
          <w:b/>
          <w:i w:val="false"/>
          <w:color w:val="000000"/>
          <w:sz w:val="22"/>
        </w:rPr>
        <w:t>创始人与股权相关信息</w:t>
      </w:r>
      <w:r>
        <w:rPr>
          <w:rFonts w:ascii="Times New Roman" w:hAnsi="Times New Roman"/>
          <w:b w:val="false"/>
          <w:i w:val="false"/>
          <w:color w:val="000000"/>
          <w:sz w:val="22"/>
        </w:rPr>
        <w:t>：实际控制人</w:t>
      </w:r>
      <w:r>
        <w:rPr>
          <w:rFonts w:ascii="Times New Roman" w:hAnsi="Times New Roman"/>
          <w:b/>
          <w:i w:val="false"/>
          <w:color w:val="000000"/>
          <w:sz w:val="22"/>
        </w:rPr>
        <w:t>姚雄杰</w:t>
      </w:r>
      <w:r>
        <w:rPr>
          <w:rFonts w:ascii="Times New Roman" w:hAnsi="Times New Roman"/>
          <w:b w:val="false"/>
          <w:i w:val="false"/>
          <w:color w:val="000000"/>
          <w:sz w:val="22"/>
        </w:rPr>
        <w:t>；参股公司81家（举例：成都腾宇翔有色金属、汉源盛屯锌锗科技、盛屯环球资源投资、成都盛威兴科研究院（有限合伙）、恩祖里铜矿有限公司等）。（该信息发布日期为20250915）</w:t>
      </w:r>
    </w:p>
    <w:p>
      <w:pPr>
        <w:numPr>
          <w:ilvl w:val="0"/>
          <w:numId w:val="3"/>
        </w:numPr>
        <w:spacing w:before="0" w:after="0"/>
        <w:jc w:val="left"/>
      </w:pPr>
    </w:p>
    <w:p>
      <w:pPr>
        <w:spacing w:before="180" w:after="180"/>
        <w:ind w:left="120"/>
        <w:jc w:val="left"/>
      </w:pPr>
      <w:r>
        <w:rPr>
          <w:rFonts w:ascii="Times New Roman" w:hAnsi="Times New Roman"/>
          <w:b/>
          <w:i w:val="false"/>
          <w:color w:val="000000"/>
          <w:sz w:val="33"/>
        </w:rPr>
        <w:t>2. 现有业务近期公开进展（含具体信息与来源）</w:t>
      </w:r>
    </w:p>
    <w:p>
      <w:pPr>
        <w:numPr>
          <w:ilvl w:val="0"/>
          <w:numId w:val="4"/>
        </w:numPr>
        <w:spacing w:before="0" w:after="0"/>
        <w:jc w:val="left"/>
      </w:pPr>
      <w:r>
        <w:rPr>
          <w:rFonts w:ascii="Times New Roman" w:hAnsi="Times New Roman"/>
          <w:b/>
          <w:i w:val="false"/>
          <w:color w:val="000000"/>
          <w:sz w:val="22"/>
        </w:rPr>
        <w:t>三季报业绩与增长</w:t>
      </w:r>
      <w:r>
        <w:rPr>
          <w:rFonts w:ascii="Times New Roman" w:hAnsi="Times New Roman"/>
          <w:b w:val="false"/>
          <w:i w:val="false"/>
          <w:color w:val="000000"/>
          <w:sz w:val="22"/>
        </w:rPr>
        <w:t>：2025年三季报实现营收</w:t>
      </w:r>
      <w:r>
        <w:rPr>
          <w:rFonts w:ascii="Times New Roman" w:hAnsi="Times New Roman"/>
          <w:b/>
          <w:i w:val="false"/>
          <w:color w:val="000000"/>
          <w:sz w:val="22"/>
        </w:rPr>
        <w:t>217.2亿元</w:t>
      </w:r>
      <w:r>
        <w:rPr>
          <w:rFonts w:ascii="Times New Roman" w:hAnsi="Times New Roman"/>
          <w:b w:val="false"/>
          <w:i w:val="false"/>
          <w:color w:val="000000"/>
          <w:sz w:val="22"/>
        </w:rPr>
        <w:t>（同比+23.0%）、归母净利润</w:t>
      </w:r>
      <w:r>
        <w:rPr>
          <w:rFonts w:ascii="Times New Roman" w:hAnsi="Times New Roman"/>
          <w:b/>
          <w:i w:val="false"/>
          <w:color w:val="000000"/>
          <w:sz w:val="22"/>
        </w:rPr>
        <w:t>17.0亿元</w:t>
      </w:r>
      <w:r>
        <w:rPr>
          <w:rFonts w:ascii="Times New Roman" w:hAnsi="Times New Roman"/>
          <w:b w:val="false"/>
          <w:i w:val="false"/>
          <w:color w:val="000000"/>
          <w:sz w:val="22"/>
        </w:rPr>
        <w:t>（同比+0.1%）、扣非归母净利润</w:t>
      </w:r>
      <w:r>
        <w:rPr>
          <w:rFonts w:ascii="Times New Roman" w:hAnsi="Times New Roman"/>
          <w:b/>
          <w:i w:val="false"/>
          <w:color w:val="000000"/>
          <w:sz w:val="22"/>
        </w:rPr>
        <w:t>18.6亿元</w:t>
      </w:r>
      <w:r>
        <w:rPr>
          <w:rFonts w:ascii="Times New Roman" w:hAnsi="Times New Roman"/>
          <w:b w:val="false"/>
          <w:i w:val="false"/>
          <w:color w:val="000000"/>
          <w:sz w:val="22"/>
        </w:rPr>
        <w:t>（同比-1.6%）。单季25Q3营收</w:t>
      </w:r>
      <w:r>
        <w:rPr>
          <w:rFonts w:ascii="Times New Roman" w:hAnsi="Times New Roman"/>
          <w:b/>
          <w:i w:val="false"/>
          <w:color w:val="000000"/>
          <w:sz w:val="22"/>
        </w:rPr>
        <w:t>79.1亿元</w:t>
      </w:r>
      <w:r>
        <w:rPr>
          <w:rFonts w:ascii="Times New Roman" w:hAnsi="Times New Roman"/>
          <w:b w:val="false"/>
          <w:i w:val="false"/>
          <w:color w:val="000000"/>
          <w:sz w:val="22"/>
        </w:rPr>
        <w:t>（同比+26.7%，环比-2.8%）、归母净利润</w:t>
      </w:r>
      <w:r>
        <w:rPr>
          <w:rFonts w:ascii="Times New Roman" w:hAnsi="Times New Roman"/>
          <w:b/>
          <w:i w:val="false"/>
          <w:color w:val="000000"/>
          <w:sz w:val="22"/>
        </w:rPr>
        <w:t>6.5亿元</w:t>
      </w:r>
      <w:r>
        <w:rPr>
          <w:rFonts w:ascii="Times New Roman" w:hAnsi="Times New Roman"/>
          <w:b w:val="false"/>
          <w:i w:val="false"/>
          <w:color w:val="000000"/>
          <w:sz w:val="22"/>
        </w:rPr>
        <w:t>（同比+11.3%，环比-14.8%）、扣非归母净利润</w:t>
      </w:r>
      <w:r>
        <w:rPr>
          <w:rFonts w:ascii="Times New Roman" w:hAnsi="Times New Roman"/>
          <w:b/>
          <w:i w:val="false"/>
          <w:color w:val="000000"/>
          <w:sz w:val="22"/>
        </w:rPr>
        <w:t>7.0亿元</w:t>
      </w:r>
      <w:r>
        <w:rPr>
          <w:rFonts w:ascii="Times New Roman" w:hAnsi="Times New Roman"/>
          <w:b w:val="false"/>
          <w:i w:val="false"/>
          <w:color w:val="000000"/>
          <w:sz w:val="22"/>
        </w:rPr>
        <w:t>（同比+7.8%，环比-2.9%）。（该信息发布日期为20251029）</w:t>
      </w:r>
    </w:p>
    <w:p>
      <w:pPr>
        <w:numPr>
          <w:ilvl w:val="0"/>
          <w:numId w:val="4"/>
        </w:numPr>
        <w:spacing w:before="0" w:after="0"/>
        <w:jc w:val="left"/>
      </w:pPr>
      <w:r>
        <w:rPr>
          <w:rFonts w:ascii="Times New Roman" w:hAnsi="Times New Roman"/>
          <w:b/>
          <w:i w:val="false"/>
          <w:color w:val="000000"/>
          <w:sz w:val="22"/>
        </w:rPr>
        <w:t>铜钴板块产出与扩建</w:t>
      </w:r>
      <w:r>
        <w:rPr>
          <w:rFonts w:ascii="Times New Roman" w:hAnsi="Times New Roman"/>
          <w:b w:val="false"/>
          <w:i w:val="false"/>
          <w:color w:val="000000"/>
          <w:sz w:val="22"/>
        </w:rPr>
        <w:t>：</w:t>
      </w:r>
    </w:p>
    <w:p>
      <w:pPr>
        <w:numPr>
          <w:ilvl w:val="0"/>
          <w:numId w:val="4"/>
        </w:numPr>
        <w:spacing w:before="0" w:after="0"/>
        <w:jc w:val="left"/>
      </w:pPr>
      <w:r>
        <w:rPr>
          <w:rFonts w:ascii="Times New Roman" w:hAnsi="Times New Roman"/>
          <w:b w:val="false"/>
          <w:i w:val="false"/>
          <w:color w:val="000000"/>
          <w:sz w:val="22"/>
        </w:rPr>
        <w:t>2025上半年刚果金铜钴板块稳定运行，铜产量</w:t>
      </w:r>
      <w:r>
        <w:rPr>
          <w:rFonts w:ascii="Times New Roman" w:hAnsi="Times New Roman"/>
          <w:b/>
          <w:i w:val="false"/>
          <w:color w:val="000000"/>
          <w:sz w:val="22"/>
        </w:rPr>
        <w:t>10.18万吨</w:t>
      </w:r>
      <w:r>
        <w:rPr>
          <w:rFonts w:ascii="Times New Roman" w:hAnsi="Times New Roman"/>
          <w:b w:val="false"/>
          <w:i w:val="false"/>
          <w:color w:val="000000"/>
          <w:sz w:val="22"/>
        </w:rPr>
        <w:t>；CCR、CCM稳定运营；卡隆威采冶一体化受雨季电力影响，上半年矿产铜产量</w:t>
      </w:r>
      <w:r>
        <w:rPr>
          <w:rFonts w:ascii="Times New Roman" w:hAnsi="Times New Roman"/>
          <w:b/>
          <w:i w:val="false"/>
          <w:color w:val="000000"/>
          <w:sz w:val="22"/>
        </w:rPr>
        <w:t>2.33万吨</w:t>
      </w:r>
      <w:r>
        <w:rPr>
          <w:rFonts w:ascii="Times New Roman" w:hAnsi="Times New Roman"/>
          <w:b w:val="false"/>
          <w:i w:val="false"/>
          <w:color w:val="000000"/>
          <w:sz w:val="22"/>
        </w:rPr>
        <w:t>；兄弟矿业(BMS)上半年铜产量</w:t>
      </w:r>
      <w:r>
        <w:rPr>
          <w:rFonts w:ascii="Times New Roman" w:hAnsi="Times New Roman"/>
          <w:b/>
          <w:i w:val="false"/>
          <w:color w:val="000000"/>
          <w:sz w:val="22"/>
        </w:rPr>
        <w:t>4.66万吨</w:t>
      </w:r>
      <w:r>
        <w:rPr>
          <w:rFonts w:ascii="Times New Roman" w:hAnsi="Times New Roman"/>
          <w:b w:val="false"/>
          <w:i w:val="false"/>
          <w:color w:val="000000"/>
          <w:sz w:val="22"/>
        </w:rPr>
        <w:t>，并推进二期二阶段扩建，扩建完成后兄弟矿业铜合计产能将至</w:t>
      </w:r>
      <w:r>
        <w:rPr>
          <w:rFonts w:ascii="Times New Roman" w:hAnsi="Times New Roman"/>
          <w:b/>
          <w:i w:val="false"/>
          <w:color w:val="000000"/>
          <w:sz w:val="22"/>
        </w:rPr>
        <w:t>12万金属吨/年</w:t>
      </w:r>
      <w:r>
        <w:rPr>
          <w:rFonts w:ascii="Times New Roman" w:hAnsi="Times New Roman"/>
          <w:b w:val="false"/>
          <w:i w:val="false"/>
          <w:color w:val="000000"/>
          <w:sz w:val="22"/>
        </w:rPr>
        <w:t>。（该信息发布日期为20251029）</w:t>
      </w:r>
    </w:p>
    <w:p>
      <w:pPr>
        <w:numPr>
          <w:ilvl w:val="0"/>
          <w:numId w:val="4"/>
        </w:numPr>
        <w:spacing w:before="0" w:after="0"/>
        <w:jc w:val="left"/>
      </w:pPr>
      <w:r>
        <w:rPr>
          <w:rFonts w:ascii="Times New Roman" w:hAnsi="Times New Roman"/>
          <w:b w:val="false"/>
          <w:i w:val="false"/>
          <w:color w:val="000000"/>
          <w:sz w:val="22"/>
        </w:rPr>
        <w:t>公司披露年内铜产量目标与毛利率：2024年铜产量</w:t>
      </w:r>
      <w:r>
        <w:rPr>
          <w:rFonts w:ascii="Times New Roman" w:hAnsi="Times New Roman"/>
          <w:b/>
          <w:i w:val="false"/>
          <w:color w:val="000000"/>
          <w:sz w:val="22"/>
        </w:rPr>
        <w:t>20万吨以上</w:t>
      </w:r>
      <w:r>
        <w:rPr>
          <w:rFonts w:ascii="Times New Roman" w:hAnsi="Times New Roman"/>
          <w:b w:val="false"/>
          <w:i w:val="false"/>
          <w:color w:val="000000"/>
          <w:sz w:val="22"/>
        </w:rPr>
        <w:t>，综合毛利率约</w:t>
      </w:r>
      <w:r>
        <w:rPr>
          <w:rFonts w:ascii="Times New Roman" w:hAnsi="Times New Roman"/>
          <w:b/>
          <w:i w:val="false"/>
          <w:color w:val="000000"/>
          <w:sz w:val="22"/>
        </w:rPr>
        <w:t>35%</w:t>
      </w:r>
      <w:r>
        <w:rPr>
          <w:rFonts w:ascii="Times New Roman" w:hAnsi="Times New Roman"/>
          <w:b w:val="false"/>
          <w:i w:val="false"/>
          <w:color w:val="000000"/>
          <w:sz w:val="22"/>
        </w:rPr>
        <w:t>（自采更高）。（该信息发布日期为20251016/20251103）</w:t>
      </w:r>
    </w:p>
    <w:p>
      <w:pPr>
        <w:numPr>
          <w:ilvl w:val="0"/>
          <w:numId w:val="4"/>
        </w:numPr>
        <w:spacing w:before="0" w:after="0"/>
        <w:jc w:val="left"/>
      </w:pPr>
      <w:r>
        <w:rPr>
          <w:rFonts w:ascii="Times New Roman" w:hAnsi="Times New Roman"/>
          <w:b/>
          <w:i w:val="false"/>
          <w:color w:val="000000"/>
          <w:sz w:val="22"/>
        </w:rPr>
        <w:t>价格环境与业绩弹性</w:t>
      </w:r>
      <w:r>
        <w:rPr>
          <w:rFonts w:ascii="Times New Roman" w:hAnsi="Times New Roman"/>
          <w:b w:val="false"/>
          <w:i w:val="false"/>
          <w:color w:val="000000"/>
          <w:sz w:val="22"/>
        </w:rPr>
        <w:t>：</w:t>
      </w:r>
    </w:p>
    <w:p>
      <w:pPr>
        <w:numPr>
          <w:ilvl w:val="0"/>
          <w:numId w:val="4"/>
        </w:numPr>
        <w:spacing w:before="0" w:after="0"/>
        <w:jc w:val="left"/>
      </w:pPr>
      <w:r>
        <w:rPr>
          <w:rFonts w:ascii="Times New Roman" w:hAnsi="Times New Roman"/>
          <w:b w:val="false"/>
          <w:i w:val="false"/>
          <w:color w:val="000000"/>
          <w:sz w:val="22"/>
        </w:rPr>
        <w:t>全球铜矿供给增量下调：2025年约</w:t>
      </w:r>
      <w:r>
        <w:rPr>
          <w:rFonts w:ascii="Times New Roman" w:hAnsi="Times New Roman"/>
          <w:b/>
          <w:i w:val="false"/>
          <w:color w:val="000000"/>
          <w:sz w:val="22"/>
        </w:rPr>
        <w:t>42万吨</w:t>
      </w:r>
      <w:r>
        <w:rPr>
          <w:rFonts w:ascii="Times New Roman" w:hAnsi="Times New Roman"/>
          <w:b w:val="false"/>
          <w:i w:val="false"/>
          <w:color w:val="000000"/>
          <w:sz w:val="22"/>
        </w:rPr>
        <w:t>（增速约1.8%），2026年增量约</w:t>
      </w:r>
      <w:r>
        <w:rPr>
          <w:rFonts w:ascii="Times New Roman" w:hAnsi="Times New Roman"/>
          <w:b/>
          <w:i w:val="false"/>
          <w:color w:val="000000"/>
          <w:sz w:val="22"/>
        </w:rPr>
        <w:t>16万吨</w:t>
      </w:r>
      <w:r>
        <w:rPr>
          <w:rFonts w:ascii="Times New Roman" w:hAnsi="Times New Roman"/>
          <w:b w:val="false"/>
          <w:i w:val="false"/>
          <w:color w:val="000000"/>
          <w:sz w:val="22"/>
        </w:rPr>
        <w:t>，供给紧缺持续、铜价中枢有望抬升。2025Q3铜价均价</w:t>
      </w:r>
      <w:r>
        <w:rPr>
          <w:rFonts w:ascii="Times New Roman" w:hAnsi="Times New Roman"/>
          <w:b/>
          <w:i w:val="false"/>
          <w:color w:val="000000"/>
          <w:sz w:val="22"/>
        </w:rPr>
        <w:t>7.96万元/吨</w:t>
      </w:r>
      <w:r>
        <w:rPr>
          <w:rFonts w:ascii="Times New Roman" w:hAnsi="Times New Roman"/>
          <w:b w:val="false"/>
          <w:i w:val="false"/>
          <w:color w:val="000000"/>
          <w:sz w:val="22"/>
        </w:rPr>
        <w:t>（同比+6%、环比+2%）；10月27日电解铜现货约</w:t>
      </w:r>
      <w:r>
        <w:rPr>
          <w:rFonts w:ascii="Times New Roman" w:hAnsi="Times New Roman"/>
          <w:b/>
          <w:i w:val="false"/>
          <w:color w:val="000000"/>
          <w:sz w:val="22"/>
        </w:rPr>
        <w:t>8.8万元/吨</w:t>
      </w:r>
      <w:r>
        <w:rPr>
          <w:rFonts w:ascii="Times New Roman" w:hAnsi="Times New Roman"/>
          <w:b w:val="false"/>
          <w:i w:val="false"/>
          <w:color w:val="000000"/>
          <w:sz w:val="22"/>
        </w:rPr>
        <w:t>。公司未来业绩预计充分受益于铜价上涨。（该信息发布日期为20251029）</w:t>
      </w:r>
    </w:p>
    <w:p>
      <w:pPr>
        <w:numPr>
          <w:ilvl w:val="0"/>
          <w:numId w:val="4"/>
        </w:numPr>
        <w:spacing w:before="0" w:after="0"/>
        <w:jc w:val="left"/>
      </w:pPr>
      <w:r>
        <w:rPr>
          <w:rFonts w:ascii="Times New Roman" w:hAnsi="Times New Roman"/>
          <w:b/>
          <w:i w:val="false"/>
          <w:color w:val="000000"/>
          <w:sz w:val="22"/>
        </w:rPr>
        <w:t>钴配额政策与经营策略（IR答复）</w:t>
      </w:r>
      <w:r>
        <w:rPr>
          <w:rFonts w:ascii="Times New Roman" w:hAnsi="Times New Roman"/>
          <w:b w:val="false"/>
          <w:i w:val="false"/>
          <w:color w:val="000000"/>
          <w:sz w:val="22"/>
        </w:rPr>
        <w:t>：</w:t>
      </w:r>
    </w:p>
    <w:p>
      <w:pPr>
        <w:numPr>
          <w:ilvl w:val="0"/>
          <w:numId w:val="4"/>
        </w:numPr>
        <w:spacing w:before="0" w:after="0"/>
        <w:jc w:val="left"/>
      </w:pPr>
      <w:r>
        <w:rPr>
          <w:rFonts w:ascii="Times New Roman" w:hAnsi="Times New Roman"/>
          <w:b w:val="false"/>
          <w:i w:val="false"/>
          <w:color w:val="000000"/>
          <w:sz w:val="22"/>
        </w:rPr>
        <w:t>公司在刚果（金）深耕多年，具备资源获取与政策沟通优势；目前产品仍以</w:t>
      </w:r>
      <w:r>
        <w:rPr>
          <w:rFonts w:ascii="Times New Roman" w:hAnsi="Times New Roman"/>
          <w:b/>
          <w:i w:val="false"/>
          <w:color w:val="000000"/>
          <w:sz w:val="22"/>
        </w:rPr>
        <w:t>粗制氢氧化钴</w:t>
      </w:r>
      <w:r>
        <w:rPr>
          <w:rFonts w:ascii="Times New Roman" w:hAnsi="Times New Roman"/>
          <w:b w:val="false"/>
          <w:i w:val="false"/>
          <w:color w:val="000000"/>
          <w:sz w:val="22"/>
        </w:rPr>
        <w:t>出口；将根据配额调整生产节奏，并优化套保策略；FTB属储备与后续发力点，探转采需周期较长。（该信息发布日期为20251103/20251103/20251103）</w:t>
      </w:r>
    </w:p>
    <w:p>
      <w:pPr>
        <w:numPr>
          <w:ilvl w:val="0"/>
          <w:numId w:val="4"/>
        </w:numPr>
        <w:spacing w:before="0" w:after="0"/>
        <w:jc w:val="left"/>
      </w:pPr>
      <w:r>
        <w:rPr>
          <w:rFonts w:ascii="Times New Roman" w:hAnsi="Times New Roman"/>
          <w:b w:val="false"/>
          <w:i w:val="false"/>
          <w:color w:val="000000"/>
          <w:sz w:val="22"/>
        </w:rPr>
        <w:t>纪要口径强调公司钴配额排名在洛钼之后，位列第二；并谈及氢氧化钴单位成本约</w:t>
      </w:r>
      <w:r>
        <w:rPr>
          <w:rFonts w:ascii="Times New Roman" w:hAnsi="Times New Roman"/>
          <w:b/>
          <w:i w:val="false"/>
          <w:color w:val="000000"/>
          <w:sz w:val="22"/>
        </w:rPr>
        <w:t>7万元/吨</w:t>
      </w:r>
      <w:r>
        <w:rPr>
          <w:rFonts w:ascii="Times New Roman" w:hAnsi="Times New Roman"/>
          <w:b w:val="false"/>
          <w:i w:val="false"/>
          <w:color w:val="000000"/>
          <w:sz w:val="22"/>
        </w:rPr>
        <w:t>与价格上行导致存货“浮盈”现象（口述数据中存在“万吨级”表述，需谨慎看待单位与口径的一致性）。（该信息发布日期为20251016）</w:t>
      </w:r>
    </w:p>
    <w:p>
      <w:pPr>
        <w:numPr>
          <w:ilvl w:val="0"/>
          <w:numId w:val="4"/>
        </w:numPr>
        <w:spacing w:before="0" w:after="0"/>
        <w:jc w:val="left"/>
      </w:pPr>
      <w:r>
        <w:rPr>
          <w:rFonts w:ascii="Times New Roman" w:hAnsi="Times New Roman"/>
          <w:b/>
          <w:i w:val="false"/>
          <w:color w:val="000000"/>
          <w:sz w:val="22"/>
        </w:rPr>
        <w:t>黄金板块并购与项目推进</w:t>
      </w:r>
      <w:r>
        <w:rPr>
          <w:rFonts w:ascii="Times New Roman" w:hAnsi="Times New Roman"/>
          <w:b w:val="false"/>
          <w:i w:val="false"/>
          <w:color w:val="000000"/>
          <w:sz w:val="22"/>
        </w:rPr>
        <w:t>：</w:t>
      </w:r>
    </w:p>
    <w:p>
      <w:pPr>
        <w:numPr>
          <w:ilvl w:val="0"/>
          <w:numId w:val="4"/>
        </w:numPr>
        <w:spacing w:before="0" w:after="0"/>
        <w:jc w:val="left"/>
      </w:pPr>
      <w:r>
        <w:rPr>
          <w:rFonts w:ascii="Times New Roman" w:hAnsi="Times New Roman"/>
          <w:b w:val="false"/>
          <w:i w:val="false"/>
          <w:color w:val="000000"/>
          <w:sz w:val="22"/>
        </w:rPr>
        <w:t>公司拟以每股</w:t>
      </w:r>
      <w:r>
        <w:rPr>
          <w:rFonts w:ascii="Times New Roman" w:hAnsi="Times New Roman"/>
          <w:b/>
          <w:i w:val="false"/>
          <w:color w:val="000000"/>
          <w:sz w:val="22"/>
        </w:rPr>
        <w:t>1.38加元</w:t>
      </w:r>
      <w:r>
        <w:rPr>
          <w:rFonts w:ascii="Times New Roman" w:hAnsi="Times New Roman"/>
          <w:b w:val="false"/>
          <w:i w:val="false"/>
          <w:color w:val="000000"/>
          <w:sz w:val="22"/>
        </w:rPr>
        <w:t>现金收购加拿大Loncor 100%股权（总价约</w:t>
      </w:r>
      <w:r>
        <w:rPr>
          <w:rFonts w:ascii="Times New Roman" w:hAnsi="Times New Roman"/>
          <w:b/>
          <w:i w:val="false"/>
          <w:color w:val="000000"/>
          <w:sz w:val="22"/>
        </w:rPr>
        <w:t>2.61亿加元/1.9亿美元/人民币13.5亿元</w:t>
      </w:r>
      <w:r>
        <w:rPr>
          <w:rFonts w:ascii="Times New Roman" w:hAnsi="Times New Roman"/>
          <w:b w:val="false"/>
          <w:i w:val="false"/>
          <w:color w:val="000000"/>
          <w:sz w:val="22"/>
        </w:rPr>
        <w:t>），核心资产为刚果（金）Adumbi金矿，控制资源量</w:t>
      </w:r>
      <w:r>
        <w:rPr>
          <w:rFonts w:ascii="Times New Roman" w:hAnsi="Times New Roman"/>
          <w:b/>
          <w:i w:val="false"/>
          <w:color w:val="000000"/>
          <w:sz w:val="22"/>
        </w:rPr>
        <w:t>1.88百万盎司</w:t>
      </w:r>
      <w:r>
        <w:rPr>
          <w:rFonts w:ascii="Times New Roman" w:hAnsi="Times New Roman"/>
          <w:b w:val="false"/>
          <w:i w:val="false"/>
          <w:color w:val="000000"/>
          <w:sz w:val="22"/>
        </w:rPr>
        <w:t>（矿石28.185Mt，品位2.08 g/t）、推断</w:t>
      </w:r>
      <w:r>
        <w:rPr>
          <w:rFonts w:ascii="Times New Roman" w:hAnsi="Times New Roman"/>
          <w:b/>
          <w:i w:val="false"/>
          <w:color w:val="000000"/>
          <w:sz w:val="22"/>
        </w:rPr>
        <w:t>2.09百万盎司</w:t>
      </w:r>
      <w:r>
        <w:rPr>
          <w:rFonts w:ascii="Times New Roman" w:hAnsi="Times New Roman"/>
          <w:b w:val="false"/>
          <w:i w:val="false"/>
          <w:color w:val="000000"/>
          <w:sz w:val="22"/>
        </w:rPr>
        <w:t>（矿石22.508Mt，品位2.89 g/t），合计约</w:t>
      </w:r>
      <w:r>
        <w:rPr>
          <w:rFonts w:ascii="Times New Roman" w:hAnsi="Times New Roman"/>
          <w:b/>
          <w:i w:val="false"/>
          <w:color w:val="000000"/>
          <w:sz w:val="22"/>
        </w:rPr>
        <w:t>123.5-123.7吨</w:t>
      </w:r>
      <w:r>
        <w:rPr>
          <w:rFonts w:ascii="Times New Roman" w:hAnsi="Times New Roman"/>
          <w:b w:val="false"/>
          <w:i w:val="false"/>
          <w:color w:val="000000"/>
          <w:sz w:val="22"/>
        </w:rPr>
        <w:t>；计划在矿区周边建设金矿选矿厂，</w:t>
      </w:r>
      <w:r>
        <w:rPr>
          <w:rFonts w:ascii="Times New Roman" w:hAnsi="Times New Roman"/>
          <w:b/>
          <w:i w:val="false"/>
          <w:color w:val="000000"/>
          <w:sz w:val="22"/>
        </w:rPr>
        <w:t>设计处理能力360万吨/年</w:t>
      </w:r>
      <w:r>
        <w:rPr>
          <w:rFonts w:ascii="Times New Roman" w:hAnsi="Times New Roman"/>
          <w:b w:val="false"/>
          <w:i w:val="false"/>
          <w:color w:val="000000"/>
          <w:sz w:val="22"/>
        </w:rPr>
        <w:t>。（该信息发布日期为20251015/20251017/20251019/20251028/20251015）</w:t>
      </w:r>
    </w:p>
    <w:p>
      <w:pPr>
        <w:numPr>
          <w:ilvl w:val="0"/>
          <w:numId w:val="4"/>
        </w:numPr>
        <w:spacing w:before="0" w:after="0"/>
        <w:jc w:val="left"/>
      </w:pPr>
      <w:r>
        <w:rPr>
          <w:rFonts w:ascii="Times New Roman" w:hAnsi="Times New Roman"/>
          <w:b w:val="false"/>
          <w:i w:val="false"/>
          <w:color w:val="000000"/>
          <w:sz w:val="22"/>
        </w:rPr>
        <w:t>交易程序与投产路径（公司交流）：加拿大私有化需法院程序与股东大会通过，预计两个月流程、12月底前支付交易价款；</w:t>
      </w:r>
      <w:r>
        <w:rPr>
          <w:rFonts w:ascii="Times New Roman" w:hAnsi="Times New Roman"/>
          <w:b/>
          <w:i w:val="false"/>
          <w:color w:val="000000"/>
          <w:sz w:val="22"/>
        </w:rPr>
        <w:t>基建期约1年</w:t>
      </w:r>
      <w:r>
        <w:rPr>
          <w:rFonts w:ascii="Times New Roman" w:hAnsi="Times New Roman"/>
          <w:b w:val="false"/>
          <w:i w:val="false"/>
          <w:color w:val="000000"/>
          <w:sz w:val="22"/>
        </w:rPr>
        <w:t>、</w:t>
      </w:r>
      <w:r>
        <w:rPr>
          <w:rFonts w:ascii="Times New Roman" w:hAnsi="Times New Roman"/>
          <w:b/>
          <w:i w:val="false"/>
          <w:color w:val="000000"/>
          <w:sz w:val="22"/>
        </w:rPr>
        <w:t>爬坡期约2年</w:t>
      </w:r>
      <w:r>
        <w:rPr>
          <w:rFonts w:ascii="Times New Roman" w:hAnsi="Times New Roman"/>
          <w:b w:val="false"/>
          <w:i w:val="false"/>
          <w:color w:val="000000"/>
          <w:sz w:val="22"/>
        </w:rPr>
        <w:t>；</w:t>
      </w:r>
      <w:r>
        <w:rPr>
          <w:rFonts w:ascii="Times New Roman" w:hAnsi="Times New Roman"/>
          <w:b/>
          <w:i w:val="false"/>
          <w:color w:val="000000"/>
          <w:sz w:val="22"/>
        </w:rPr>
        <w:t>资本开支预计3-4亿美元</w:t>
      </w:r>
      <w:r>
        <w:rPr>
          <w:rFonts w:ascii="Times New Roman" w:hAnsi="Times New Roman"/>
          <w:b w:val="false"/>
          <w:i w:val="false"/>
          <w:color w:val="000000"/>
          <w:sz w:val="22"/>
        </w:rPr>
        <w:t>；产品规划为</w:t>
      </w:r>
      <w:r>
        <w:rPr>
          <w:rFonts w:ascii="Times New Roman" w:hAnsi="Times New Roman"/>
          <w:b/>
          <w:i w:val="false"/>
          <w:color w:val="000000"/>
          <w:sz w:val="22"/>
        </w:rPr>
        <w:t>金精矿</w:t>
      </w:r>
      <w:r>
        <w:rPr>
          <w:rFonts w:ascii="Times New Roman" w:hAnsi="Times New Roman"/>
          <w:b w:val="false"/>
          <w:i w:val="false"/>
          <w:color w:val="000000"/>
          <w:sz w:val="22"/>
        </w:rPr>
        <w:t>。（该信息发布日期为20251016/20251016/20251103）</w:t>
      </w:r>
    </w:p>
    <w:p>
      <w:pPr>
        <w:numPr>
          <w:ilvl w:val="0"/>
          <w:numId w:val="4"/>
        </w:numPr>
        <w:spacing w:before="0" w:after="0"/>
        <w:jc w:val="left"/>
      </w:pPr>
      <w:r>
        <w:rPr>
          <w:rFonts w:ascii="Times New Roman" w:hAnsi="Times New Roman"/>
          <w:b/>
          <w:i w:val="false"/>
          <w:color w:val="000000"/>
          <w:sz w:val="22"/>
        </w:rPr>
        <w:t>其他资本与治理动作</w:t>
      </w:r>
      <w:r>
        <w:rPr>
          <w:rFonts w:ascii="Times New Roman" w:hAnsi="Times New Roman"/>
          <w:b w:val="false"/>
          <w:i w:val="false"/>
          <w:color w:val="000000"/>
          <w:sz w:val="22"/>
        </w:rPr>
        <w:t>：</w:t>
      </w:r>
    </w:p>
    <w:p>
      <w:pPr>
        <w:numPr>
          <w:ilvl w:val="0"/>
          <w:numId w:val="4"/>
        </w:numPr>
        <w:spacing w:before="0" w:after="0"/>
        <w:jc w:val="left"/>
      </w:pPr>
      <w:r>
        <w:rPr>
          <w:rFonts w:ascii="Times New Roman" w:hAnsi="Times New Roman"/>
          <w:b w:val="false"/>
          <w:i w:val="false"/>
          <w:color w:val="000000"/>
          <w:sz w:val="22"/>
        </w:rPr>
        <w:t>股份回购实施结果：回购金额</w:t>
      </w:r>
      <w:r>
        <w:rPr>
          <w:rFonts w:ascii="Times New Roman" w:hAnsi="Times New Roman"/>
          <w:b/>
          <w:i w:val="false"/>
          <w:color w:val="000000"/>
          <w:sz w:val="22"/>
        </w:rPr>
        <w:t>2.78995545亿元</w:t>
      </w:r>
      <w:r>
        <w:rPr>
          <w:rFonts w:ascii="Times New Roman" w:hAnsi="Times New Roman"/>
          <w:b w:val="false"/>
          <w:i w:val="false"/>
          <w:color w:val="000000"/>
          <w:sz w:val="22"/>
        </w:rPr>
        <w:t>，累计已回购</w:t>
      </w:r>
      <w:r>
        <w:rPr>
          <w:rFonts w:ascii="Times New Roman" w:hAnsi="Times New Roman"/>
          <w:b/>
          <w:i w:val="false"/>
          <w:color w:val="000000"/>
          <w:sz w:val="22"/>
        </w:rPr>
        <w:t>33,582,400股</w:t>
      </w:r>
      <w:r>
        <w:rPr>
          <w:rFonts w:ascii="Times New Roman" w:hAnsi="Times New Roman"/>
          <w:b w:val="false"/>
          <w:i w:val="false"/>
          <w:color w:val="000000"/>
          <w:sz w:val="22"/>
        </w:rPr>
        <w:t>（占总股本1.0866%），价格区间</w:t>
      </w:r>
      <w:r>
        <w:rPr>
          <w:rFonts w:ascii="Times New Roman" w:hAnsi="Times New Roman"/>
          <w:b/>
          <w:i w:val="false"/>
          <w:color w:val="000000"/>
          <w:sz w:val="22"/>
        </w:rPr>
        <w:t>8.1029-8.75元/股</w:t>
      </w:r>
      <w:r>
        <w:rPr>
          <w:rFonts w:ascii="Times New Roman" w:hAnsi="Times New Roman"/>
          <w:b w:val="false"/>
          <w:i w:val="false"/>
          <w:color w:val="000000"/>
          <w:sz w:val="22"/>
        </w:rPr>
        <w:t>。（该信息发布日期为20251011/20251024）</w:t>
      </w:r>
    </w:p>
    <w:p>
      <w:pPr>
        <w:numPr>
          <w:ilvl w:val="0"/>
          <w:numId w:val="4"/>
        </w:numPr>
        <w:spacing w:before="0" w:after="0"/>
        <w:jc w:val="left"/>
      </w:pPr>
      <w:r>
        <w:rPr>
          <w:rFonts w:ascii="Times New Roman" w:hAnsi="Times New Roman"/>
          <w:b w:val="false"/>
          <w:i w:val="false"/>
          <w:color w:val="000000"/>
          <w:sz w:val="22"/>
        </w:rPr>
        <w:t>海外平台增资：对全资子公司增资</w:t>
      </w:r>
      <w:r>
        <w:rPr>
          <w:rFonts w:ascii="Times New Roman" w:hAnsi="Times New Roman"/>
          <w:b/>
          <w:i w:val="false"/>
          <w:color w:val="000000"/>
          <w:sz w:val="22"/>
        </w:rPr>
        <w:t>19,995万美元</w:t>
      </w:r>
      <w:r>
        <w:rPr>
          <w:rFonts w:ascii="Times New Roman" w:hAnsi="Times New Roman"/>
          <w:b w:val="false"/>
          <w:i w:val="false"/>
          <w:color w:val="000000"/>
          <w:sz w:val="22"/>
        </w:rPr>
        <w:t>（约</w:t>
      </w:r>
      <w:r>
        <w:rPr>
          <w:rFonts w:ascii="Times New Roman" w:hAnsi="Times New Roman"/>
          <w:b/>
          <w:i w:val="false"/>
          <w:color w:val="000000"/>
          <w:sz w:val="22"/>
        </w:rPr>
        <w:t>人民币14.23亿元</w:t>
      </w:r>
      <w:r>
        <w:rPr>
          <w:rFonts w:ascii="Times New Roman" w:hAnsi="Times New Roman"/>
          <w:b w:val="false"/>
          <w:i w:val="false"/>
          <w:color w:val="000000"/>
          <w:sz w:val="22"/>
        </w:rPr>
        <w:t>），用于推进国际化与黄金板块平台化（董事会审议通过）。（该信息发布日期为20251113/20251112）</w:t>
      </w:r>
    </w:p>
    <w:p>
      <w:pPr>
        <w:numPr>
          <w:ilvl w:val="0"/>
          <w:numId w:val="4"/>
        </w:numPr>
        <w:spacing w:before="0" w:after="0"/>
        <w:jc w:val="left"/>
      </w:pPr>
      <w:r>
        <w:rPr>
          <w:rFonts w:ascii="Times New Roman" w:hAnsi="Times New Roman"/>
          <w:b w:val="false"/>
          <w:i w:val="false"/>
          <w:color w:val="000000"/>
          <w:sz w:val="22"/>
        </w:rPr>
        <w:t>治理与信息披露制度修订：取消监事会并修订公司章程，同时修订或制定对外担保、关联交易、信息披露、内幕知情人登记、募集资金管理、董秘工作、会计师事务所选聘等制度。（该信息发布日期为20251024）</w:t>
      </w:r>
    </w:p>
    <w:p>
      <w:pPr>
        <w:numPr>
          <w:ilvl w:val="0"/>
          <w:numId w:val="4"/>
        </w:numPr>
        <w:spacing w:before="0" w:after="0"/>
        <w:jc w:val="left"/>
      </w:pPr>
      <w:r>
        <w:rPr>
          <w:rFonts w:ascii="Times New Roman" w:hAnsi="Times New Roman"/>
          <w:b w:val="false"/>
          <w:i w:val="false"/>
          <w:color w:val="000000"/>
          <w:sz w:val="22"/>
        </w:rPr>
        <w:t>管理层变更：董事、总经理辞职并补选董事、聘任总经理及常务副总经理（与锌锗冶炼、贵州项目扭亏相关的管理优化预期）。（该信息发布日期为20251113）</w:t>
      </w:r>
    </w:p>
    <w:p>
      <w:pPr>
        <w:numPr>
          <w:ilvl w:val="0"/>
          <w:numId w:val="4"/>
        </w:numPr>
        <w:spacing w:before="0" w:after="0"/>
        <w:jc w:val="left"/>
      </w:pPr>
      <w:r>
        <w:rPr>
          <w:rFonts w:ascii="Times New Roman" w:hAnsi="Times New Roman"/>
          <w:b w:val="false"/>
          <w:i w:val="false"/>
          <w:color w:val="000000"/>
          <w:sz w:val="22"/>
        </w:rPr>
        <w:t>控股股东股份质押更新：深圳盛屯集团质押</w:t>
      </w:r>
      <w:r>
        <w:rPr>
          <w:rFonts w:ascii="Times New Roman" w:hAnsi="Times New Roman"/>
          <w:b/>
          <w:i w:val="false"/>
          <w:color w:val="000000"/>
          <w:sz w:val="22"/>
        </w:rPr>
        <w:t>21,000,000股</w:t>
      </w:r>
      <w:r>
        <w:rPr>
          <w:rFonts w:ascii="Times New Roman" w:hAnsi="Times New Roman"/>
          <w:b w:val="false"/>
          <w:i w:val="false"/>
          <w:color w:val="000000"/>
          <w:sz w:val="22"/>
        </w:rPr>
        <w:t>，质押期至2026-10-30；累计质押情况披露。（该信息发布日期为20251030）</w:t>
      </w:r>
    </w:p>
    <w:p>
      <w:pPr>
        <w:numPr>
          <w:ilvl w:val="0"/>
          <w:numId w:val="4"/>
        </w:numPr>
        <w:spacing w:before="0" w:after="0"/>
        <w:jc w:val="left"/>
      </w:pPr>
    </w:p>
    <w:p>
      <w:pPr>
        <w:spacing w:before="180" w:after="180"/>
        <w:ind w:left="120"/>
        <w:jc w:val="left"/>
      </w:pPr>
      <w:r>
        <w:rPr>
          <w:rFonts w:ascii="Times New Roman" w:hAnsi="Times New Roman"/>
          <w:b/>
          <w:i w:val="false"/>
          <w:color w:val="000000"/>
          <w:sz w:val="33"/>
        </w:rPr>
        <w:t>3. 正在筹备/刚开始推进的业务（有望形成新的业绩增长点）</w:t>
      </w:r>
    </w:p>
    <w:p>
      <w:pPr>
        <w:numPr>
          <w:ilvl w:val="0"/>
          <w:numId w:val="5"/>
        </w:numPr>
        <w:spacing w:before="0" w:after="0"/>
        <w:jc w:val="left"/>
      </w:pPr>
      <w:r>
        <w:rPr>
          <w:rFonts w:ascii="Times New Roman" w:hAnsi="Times New Roman"/>
          <w:b/>
          <w:i w:val="false"/>
          <w:color w:val="000000"/>
          <w:sz w:val="22"/>
        </w:rPr>
        <w:t>黄金板块（Adumbi）中期增量路径明确</w:t>
      </w:r>
      <w:r>
        <w:rPr>
          <w:rFonts w:ascii="Times New Roman" w:hAnsi="Times New Roman"/>
          <w:b w:val="false"/>
          <w:i w:val="false"/>
          <w:color w:val="000000"/>
          <w:sz w:val="22"/>
        </w:rPr>
        <w:t>：</w:t>
      </w:r>
    </w:p>
    <w:p>
      <w:pPr>
        <w:numPr>
          <w:ilvl w:val="0"/>
          <w:numId w:val="5"/>
        </w:numPr>
        <w:spacing w:before="0" w:after="0"/>
        <w:jc w:val="left"/>
      </w:pPr>
      <w:r>
        <w:rPr>
          <w:rFonts w:ascii="Times New Roman" w:hAnsi="Times New Roman"/>
          <w:b w:val="false"/>
          <w:i w:val="false"/>
          <w:color w:val="000000"/>
          <w:sz w:val="22"/>
        </w:rPr>
        <w:t>交易交割与</w:t>
      </w:r>
      <w:r>
        <w:rPr>
          <w:rFonts w:ascii="Times New Roman" w:hAnsi="Times New Roman"/>
          <w:b/>
          <w:i w:val="false"/>
          <w:color w:val="000000"/>
          <w:sz w:val="22"/>
        </w:rPr>
        <w:t>1年基建+2年爬坡</w:t>
      </w:r>
      <w:r>
        <w:rPr>
          <w:rFonts w:ascii="Times New Roman" w:hAnsi="Times New Roman"/>
          <w:b w:val="false"/>
          <w:i w:val="false"/>
          <w:color w:val="000000"/>
          <w:sz w:val="22"/>
        </w:rPr>
        <w:t>时间表清晰；</w:t>
      </w:r>
      <w:r>
        <w:rPr>
          <w:rFonts w:ascii="Times New Roman" w:hAnsi="Times New Roman"/>
          <w:b/>
          <w:i w:val="false"/>
          <w:color w:val="000000"/>
          <w:sz w:val="22"/>
        </w:rPr>
        <w:t>360万吨/年</w:t>
      </w:r>
      <w:r>
        <w:rPr>
          <w:rFonts w:ascii="Times New Roman" w:hAnsi="Times New Roman"/>
          <w:b w:val="false"/>
          <w:i w:val="false"/>
          <w:color w:val="000000"/>
          <w:sz w:val="22"/>
        </w:rPr>
        <w:t>处理能力的工程规划与</w:t>
      </w:r>
      <w:r>
        <w:rPr>
          <w:rFonts w:ascii="Times New Roman" w:hAnsi="Times New Roman"/>
          <w:b/>
          <w:i w:val="false"/>
          <w:color w:val="000000"/>
          <w:sz w:val="22"/>
        </w:rPr>
        <w:t>3-4亿美元</w:t>
      </w:r>
      <w:r>
        <w:rPr>
          <w:rFonts w:ascii="Times New Roman" w:hAnsi="Times New Roman"/>
          <w:b w:val="false"/>
          <w:i w:val="false"/>
          <w:color w:val="000000"/>
          <w:sz w:val="22"/>
        </w:rPr>
        <w:t>资本开支安排明确；产品为</w:t>
      </w:r>
      <w:r>
        <w:rPr>
          <w:rFonts w:ascii="Times New Roman" w:hAnsi="Times New Roman"/>
          <w:b/>
          <w:i w:val="false"/>
          <w:color w:val="000000"/>
          <w:sz w:val="22"/>
        </w:rPr>
        <w:t>金精矿</w:t>
      </w:r>
      <w:r>
        <w:rPr>
          <w:rFonts w:ascii="Times New Roman" w:hAnsi="Times New Roman"/>
          <w:b w:val="false"/>
          <w:i w:val="false"/>
          <w:color w:val="000000"/>
          <w:sz w:val="22"/>
        </w:rPr>
        <w:t>，随品位由浅至深提升，盈利具备改善潜力（公司强调浅部露天开采、深部地下开采）。（该信息发布日期为20251016/20251016/20251103/20251015）</w:t>
      </w:r>
    </w:p>
    <w:p>
      <w:pPr>
        <w:numPr>
          <w:ilvl w:val="0"/>
          <w:numId w:val="5"/>
        </w:numPr>
        <w:spacing w:before="0" w:after="0"/>
        <w:jc w:val="left"/>
      </w:pPr>
      <w:r>
        <w:rPr>
          <w:rFonts w:ascii="Times New Roman" w:hAnsi="Times New Roman"/>
          <w:b w:val="false"/>
          <w:i w:val="false"/>
          <w:color w:val="000000"/>
          <w:sz w:val="22"/>
        </w:rPr>
        <w:t>公司强调在黄金板块的专业团队、尽调深度（四大所与律师参与）与平台化布局，目标打造</w:t>
      </w:r>
      <w:r>
        <w:rPr>
          <w:rFonts w:ascii="Times New Roman" w:hAnsi="Times New Roman"/>
          <w:b/>
          <w:i w:val="false"/>
          <w:color w:val="000000"/>
          <w:sz w:val="22"/>
        </w:rPr>
        <w:t>相对独立</w:t>
      </w:r>
      <w:r>
        <w:rPr>
          <w:rFonts w:ascii="Times New Roman" w:hAnsi="Times New Roman"/>
          <w:b w:val="false"/>
          <w:i w:val="false"/>
          <w:color w:val="000000"/>
          <w:sz w:val="22"/>
        </w:rPr>
        <w:t>的黄金板块。（该信息发布日期为20251016）</w:t>
      </w:r>
    </w:p>
    <w:p>
      <w:pPr>
        <w:numPr>
          <w:ilvl w:val="0"/>
          <w:numId w:val="5"/>
        </w:numPr>
        <w:spacing w:before="0" w:after="0"/>
        <w:jc w:val="left"/>
      </w:pPr>
      <w:r>
        <w:rPr>
          <w:rFonts w:ascii="Times New Roman" w:hAnsi="Times New Roman"/>
          <w:b/>
          <w:i w:val="false"/>
          <w:color w:val="000000"/>
          <w:sz w:val="22"/>
        </w:rPr>
        <w:t>FTB勘探储备与采转矿路径</w:t>
      </w:r>
      <w:r>
        <w:rPr>
          <w:rFonts w:ascii="Times New Roman" w:hAnsi="Times New Roman"/>
          <w:b w:val="false"/>
          <w:i w:val="false"/>
          <w:color w:val="000000"/>
          <w:sz w:val="22"/>
        </w:rPr>
        <w:t>：FTB项目探矿权面积较大，可作为后续储备与发力点；探转采需较长周期，公司将持续推进勘探成果与储量评估（稳步策略）。（该信息发布日期为20251103）</w:t>
      </w:r>
    </w:p>
    <w:p>
      <w:pPr>
        <w:numPr>
          <w:ilvl w:val="0"/>
          <w:numId w:val="5"/>
        </w:numPr>
        <w:spacing w:before="0" w:after="0"/>
        <w:jc w:val="left"/>
      </w:pPr>
      <w:r>
        <w:rPr>
          <w:rFonts w:ascii="Times New Roman" w:hAnsi="Times New Roman"/>
          <w:b/>
          <w:i w:val="false"/>
          <w:color w:val="000000"/>
          <w:sz w:val="22"/>
        </w:rPr>
        <w:t>国内矿山建设与冶炼优化</w:t>
      </w:r>
      <w:r>
        <w:rPr>
          <w:rFonts w:ascii="Times New Roman" w:hAnsi="Times New Roman"/>
          <w:b w:val="false"/>
          <w:i w:val="false"/>
          <w:color w:val="000000"/>
          <w:sz w:val="22"/>
        </w:rPr>
        <w:t>：</w:t>
      </w:r>
    </w:p>
    <w:p>
      <w:pPr>
        <w:numPr>
          <w:ilvl w:val="0"/>
          <w:numId w:val="5"/>
        </w:numPr>
        <w:spacing w:before="0" w:after="0"/>
        <w:jc w:val="left"/>
      </w:pPr>
      <w:r>
        <w:rPr>
          <w:rFonts w:ascii="Times New Roman" w:hAnsi="Times New Roman"/>
          <w:b w:val="false"/>
          <w:i w:val="false"/>
          <w:color w:val="000000"/>
          <w:sz w:val="22"/>
        </w:rPr>
        <w:t>国内5座矿山：大理三鑫铜矿、保山恒源鑫茂铅锌矿处于建设期；华金与埃玛按计划生产；银鑫暂未复工（结构改善后潜在贡献随资源与价格修复）。（该信息发布日期为20251103/20251103）</w:t>
      </w:r>
    </w:p>
    <w:p>
      <w:pPr>
        <w:numPr>
          <w:ilvl w:val="0"/>
          <w:numId w:val="5"/>
        </w:numPr>
        <w:spacing w:before="0" w:after="0"/>
        <w:jc w:val="left"/>
      </w:pPr>
      <w:r>
        <w:rPr>
          <w:rFonts w:ascii="Times New Roman" w:hAnsi="Times New Roman"/>
          <w:b w:val="false"/>
          <w:i w:val="false"/>
          <w:color w:val="000000"/>
          <w:sz w:val="22"/>
        </w:rPr>
        <w:t>四川盛屯锌锗冶炼基地（年产能30万吨锌锭、40吨高纯二氧化锗），下半年水电降低电费有望减负，叠加管理调整，有扭亏预期（公司答复）。（该信息发布日期为20251103/20251103）</w:t>
      </w:r>
    </w:p>
    <w:p>
      <w:pPr>
        <w:numPr>
          <w:ilvl w:val="0"/>
          <w:numId w:val="5"/>
        </w:numPr>
        <w:spacing w:before="0" w:after="0"/>
        <w:jc w:val="left"/>
      </w:pPr>
      <w:r>
        <w:rPr>
          <w:rFonts w:ascii="Times New Roman" w:hAnsi="Times New Roman"/>
          <w:b/>
          <w:i w:val="false"/>
          <w:color w:val="000000"/>
          <w:sz w:val="22"/>
        </w:rPr>
        <w:t>镍板块降本增效</w:t>
      </w:r>
      <w:r>
        <w:rPr>
          <w:rFonts w:ascii="Times New Roman" w:hAnsi="Times New Roman"/>
          <w:b w:val="false"/>
          <w:i w:val="false"/>
          <w:color w:val="000000"/>
          <w:sz w:val="22"/>
        </w:rPr>
        <w:t>：印尼友山镍业通过优化工艺、提升综合利用效率、加强成本管控，有效缓解不利因素（对亏损板块的收敛与改善）。（该信息发布日期为20251029）</w:t>
      </w:r>
    </w:p>
    <w:p>
      <w:pPr>
        <w:numPr>
          <w:ilvl w:val="0"/>
          <w:numId w:val="5"/>
        </w:numPr>
        <w:spacing w:before="0" w:after="0"/>
        <w:jc w:val="left"/>
      </w:pPr>
    </w:p>
    <w:p>
      <w:pPr>
        <w:spacing w:before="180" w:after="180"/>
        <w:ind w:left="120"/>
        <w:jc w:val="left"/>
      </w:pPr>
      <w:r>
        <w:rPr>
          <w:rFonts w:ascii="Times New Roman" w:hAnsi="Times New Roman"/>
          <w:b/>
          <w:i w:val="false"/>
          <w:color w:val="000000"/>
          <w:sz w:val="33"/>
        </w:rPr>
        <w:t>4. 新的业务订单（如有）</w:t>
      </w:r>
    </w:p>
    <w:p>
      <w:pPr>
        <w:numPr>
          <w:ilvl w:val="0"/>
          <w:numId w:val="6"/>
        </w:numPr>
        <w:spacing w:before="0" w:after="0"/>
        <w:jc w:val="left"/>
      </w:pPr>
      <w:r>
        <w:rPr>
          <w:rFonts w:ascii="Times New Roman" w:hAnsi="Times New Roman"/>
          <w:b w:val="false"/>
          <w:i w:val="false"/>
          <w:color w:val="000000"/>
          <w:sz w:val="22"/>
        </w:rPr>
        <w:t>不清楚（近期公开材料与IR未披露新增“订单”性质的合同或采购签约信息）。（该信息发布日期为20251103/20251103/20251015）</w:t>
      </w:r>
    </w:p>
    <w:p>
      <w:pPr>
        <w:numPr>
          <w:ilvl w:val="0"/>
          <w:numId w:val="6"/>
        </w:numPr>
        <w:spacing w:before="0" w:after="0"/>
        <w:jc w:val="left"/>
      </w:pPr>
    </w:p>
    <w:p>
      <w:pPr>
        <w:spacing w:before="180" w:after="180"/>
        <w:ind w:left="120"/>
        <w:jc w:val="left"/>
      </w:pPr>
      <w:r>
        <w:rPr>
          <w:rFonts w:ascii="Times New Roman" w:hAnsi="Times New Roman"/>
          <w:b/>
          <w:i w:val="false"/>
          <w:color w:val="000000"/>
          <w:sz w:val="33"/>
        </w:rPr>
        <w:t>5. 网络信息/公众号/论坛中的业务潜力提及（舆情与潜力解读）</w:t>
      </w:r>
    </w:p>
    <w:p>
      <w:pPr>
        <w:numPr>
          <w:ilvl w:val="0"/>
          <w:numId w:val="7"/>
        </w:numPr>
        <w:spacing w:before="0" w:after="0"/>
        <w:jc w:val="left"/>
      </w:pPr>
      <w:r>
        <w:rPr>
          <w:rFonts w:ascii="Times New Roman" w:hAnsi="Times New Roman"/>
          <w:b/>
          <w:i w:val="false"/>
          <w:color w:val="000000"/>
          <w:sz w:val="22"/>
        </w:rPr>
        <w:t>“13.5亿撬动560亿金矿”叙事广泛传播</w:t>
      </w:r>
      <w:r>
        <w:rPr>
          <w:rFonts w:ascii="Times New Roman" w:hAnsi="Times New Roman"/>
          <w:b w:val="false"/>
          <w:i w:val="false"/>
          <w:color w:val="000000"/>
          <w:sz w:val="22"/>
        </w:rPr>
        <w:t>：多篇网络文章以“资源量×金价”的账面价值法，强调Adumbi资源的“潜在价值”，但公司并未以此口径做盈利测算；需警惕对NPV/资本开支/税费/折现与执行风险的忽略导致的高估风险。（该信息发布日期为20251017/20251022）</w:t>
      </w:r>
    </w:p>
    <w:p>
      <w:pPr>
        <w:numPr>
          <w:ilvl w:val="0"/>
          <w:numId w:val="7"/>
        </w:numPr>
        <w:spacing w:before="0" w:after="0"/>
        <w:jc w:val="left"/>
      </w:pPr>
      <w:r>
        <w:rPr>
          <w:rFonts w:ascii="Times New Roman" w:hAnsi="Times New Roman"/>
          <w:b/>
          <w:i w:val="false"/>
          <w:color w:val="000000"/>
          <w:sz w:val="22"/>
        </w:rPr>
        <w:t>“三大预期差、目标800亿市值”等市场观点</w:t>
      </w:r>
      <w:r>
        <w:rPr>
          <w:rFonts w:ascii="Times New Roman" w:hAnsi="Times New Roman"/>
          <w:b w:val="false"/>
          <w:i w:val="false"/>
          <w:color w:val="000000"/>
          <w:sz w:val="22"/>
        </w:rPr>
        <w:t>：围绕FTB潜在资源、钴配额与黄金投产后的盈利测算形成乐观预期（包含具体吨位与利润估算），但属市场研判与讨论，非公司正式指引；投资者需区分“公司事实披露”与“市场推演”。（该信息发布日期为20251114）</w:t>
      </w:r>
    </w:p>
    <w:p>
      <w:pPr>
        <w:numPr>
          <w:ilvl w:val="0"/>
          <w:numId w:val="7"/>
        </w:numPr>
        <w:spacing w:before="0" w:after="0"/>
        <w:jc w:val="left"/>
      </w:pPr>
      <w:r>
        <w:rPr>
          <w:rFonts w:ascii="Times New Roman" w:hAnsi="Times New Roman"/>
          <w:b/>
          <w:i w:val="false"/>
          <w:color w:val="000000"/>
          <w:sz w:val="22"/>
        </w:rPr>
        <w:t>“增资海外黄金平台与管理优化”观点</w:t>
      </w:r>
      <w:r>
        <w:rPr>
          <w:rFonts w:ascii="Times New Roman" w:hAnsi="Times New Roman"/>
          <w:b w:val="false"/>
          <w:i w:val="false"/>
          <w:color w:val="000000"/>
          <w:sz w:val="22"/>
        </w:rPr>
        <w:t>：市场解读公司对海外平台增资旨在为刚果（金）股权交割做准备，并预期锌冶炼扭亏可能提升整体利润与估值；该类观点与公司增资事实一致，但利润与估值的数值判断为观点，非公司披露。（该信息发布日期为20251112/20251113）</w:t>
      </w:r>
    </w:p>
    <w:p>
      <w:pPr>
        <w:numPr>
          <w:ilvl w:val="0"/>
          <w:numId w:val="7"/>
        </w:numPr>
        <w:spacing w:before="0" w:after="0"/>
        <w:jc w:val="left"/>
      </w:pPr>
    </w:p>
    <w:p>
      <w:pPr>
        <w:spacing w:before="180" w:after="180"/>
        <w:ind w:left="120"/>
        <w:jc w:val="left"/>
      </w:pPr>
      <w:r>
        <w:rPr>
          <w:rFonts w:ascii="Times New Roman" w:hAnsi="Times New Roman"/>
          <w:b/>
          <w:i w:val="false"/>
          <w:color w:val="000000"/>
          <w:sz w:val="33"/>
        </w:rPr>
        <w:t>6. 业务进展与市场热点对照：近期股价上涨可能关联的因素</w:t>
      </w:r>
    </w:p>
    <w:p>
      <w:pPr>
        <w:numPr>
          <w:ilvl w:val="0"/>
          <w:numId w:val="8"/>
        </w:numPr>
        <w:spacing w:before="0" w:after="0"/>
        <w:jc w:val="left"/>
      </w:pPr>
      <w:r>
        <w:rPr>
          <w:rFonts w:ascii="Times New Roman" w:hAnsi="Times New Roman"/>
          <w:b/>
          <w:i w:val="false"/>
          <w:color w:val="000000"/>
          <w:sz w:val="22"/>
        </w:rPr>
        <w:t>铜价上行与供给收缩（强Beta）</w:t>
      </w:r>
      <w:r>
        <w:rPr>
          <w:rFonts w:ascii="Times New Roman" w:hAnsi="Times New Roman"/>
          <w:b w:val="false"/>
          <w:i w:val="false"/>
          <w:color w:val="000000"/>
          <w:sz w:val="22"/>
        </w:rPr>
        <w:t>：全球铜矿增量下调、国内电解铜价格创高，提升公司铜冶炼毛利与产量扩产的边际收益，是近期股价上涨的“就地支撑”。（该信息发布日期为20251029）</w:t>
      </w:r>
    </w:p>
    <w:p>
      <w:pPr>
        <w:numPr>
          <w:ilvl w:val="0"/>
          <w:numId w:val="8"/>
        </w:numPr>
        <w:spacing w:before="0" w:after="0"/>
        <w:jc w:val="left"/>
      </w:pPr>
      <w:r>
        <w:rPr>
          <w:rFonts w:ascii="Times New Roman" w:hAnsi="Times New Roman"/>
          <w:b/>
          <w:i w:val="false"/>
          <w:color w:val="000000"/>
          <w:sz w:val="22"/>
        </w:rPr>
        <w:t>钴配额与价格预期（政策与商品价双重预期）</w:t>
      </w:r>
      <w:r>
        <w:rPr>
          <w:rFonts w:ascii="Times New Roman" w:hAnsi="Times New Roman"/>
          <w:b w:val="false"/>
          <w:i w:val="false"/>
          <w:color w:val="000000"/>
          <w:sz w:val="22"/>
        </w:rPr>
        <w:t>：公司在刚果（金）钴配额中具备优势、IR强调粗制氢氧化钴出口策略与生产节奏优化，市场在商品价格上行的情境中提升对公司钴盈利弹性的预期。需注意纪要口径中的“万吨级”体量与单位表达存在口述不一致的可能，审慎核对。（该信息发布日期为20251016/20251103）</w:t>
      </w:r>
    </w:p>
    <w:p>
      <w:pPr>
        <w:numPr>
          <w:ilvl w:val="0"/>
          <w:numId w:val="8"/>
        </w:numPr>
        <w:spacing w:before="0" w:after="0"/>
        <w:jc w:val="left"/>
      </w:pPr>
      <w:r>
        <w:rPr>
          <w:rFonts w:ascii="Times New Roman" w:hAnsi="Times New Roman"/>
          <w:b/>
          <w:i w:val="false"/>
          <w:color w:val="000000"/>
          <w:sz w:val="22"/>
        </w:rPr>
        <w:t>黄金板块并购落地（中期成长主线）</w:t>
      </w:r>
      <w:r>
        <w:rPr>
          <w:rFonts w:ascii="Times New Roman" w:hAnsi="Times New Roman"/>
          <w:b w:val="false"/>
          <w:i w:val="false"/>
          <w:color w:val="000000"/>
          <w:sz w:val="22"/>
        </w:rPr>
        <w:t>：Adumbi金矿全资并购与明确的投产路径（1年基建+2年爬坡，360万吨/年），为公司“铜钴+黄金”的双轮驱动战略提供中期增量预期，市场给予估值溢价的基础。网络舆情的“资源账面价值”叙事强化了预期传播。实际投资回报仍取决于工程执行、资本开支控制、社区与政策风险管理。（该信息发布日期为20251015/20251028/20251015/20251017）</w:t>
      </w:r>
    </w:p>
    <w:p>
      <w:pPr>
        <w:numPr>
          <w:ilvl w:val="0"/>
          <w:numId w:val="8"/>
        </w:numPr>
        <w:spacing w:before="0" w:after="0"/>
        <w:jc w:val="left"/>
      </w:pPr>
      <w:r>
        <w:rPr>
          <w:rFonts w:ascii="Times New Roman" w:hAnsi="Times New Roman"/>
          <w:b/>
          <w:i w:val="false"/>
          <w:color w:val="000000"/>
          <w:sz w:val="22"/>
        </w:rPr>
        <w:t>资本动作与治理优化（提升估值确定性）</w:t>
      </w:r>
      <w:r>
        <w:rPr>
          <w:rFonts w:ascii="Times New Roman" w:hAnsi="Times New Roman"/>
          <w:b w:val="false"/>
          <w:i w:val="false"/>
          <w:color w:val="000000"/>
          <w:sz w:val="22"/>
        </w:rPr>
        <w:t>：股份回购执行（已购2.79亿元）、海外平台增资（约14.23亿元）、制度修订（公司治理与信息披露）与管理层调整，共同强化了公司“战略聚焦+执行力”的市场认知，增强了估值支撑与风格偏好。股东质押更新属中性偏风险信息，需结合总体财务稳健性看待。（该信息发布日期为20251011/20251024/20251113/20251024/20251113/20251030）</w:t>
      </w:r>
    </w:p>
    <w:p>
      <w:pPr>
        <w:numPr>
          <w:ilvl w:val="0"/>
          <w:numId w:val="8"/>
        </w:numPr>
        <w:spacing w:before="0" w:after="0"/>
        <w:jc w:val="left"/>
      </w:pPr>
      <w:r>
        <w:rPr>
          <w:rFonts w:ascii="Times New Roman" w:hAnsi="Times New Roman"/>
          <w:b/>
          <w:i w:val="false"/>
          <w:color w:val="000000"/>
          <w:sz w:val="22"/>
        </w:rPr>
        <w:t>与市场热点的映射</w:t>
      </w:r>
      <w:r>
        <w:rPr>
          <w:rFonts w:ascii="Times New Roman" w:hAnsi="Times New Roman"/>
          <w:b w:val="false"/>
          <w:i w:val="false"/>
          <w:color w:val="000000"/>
          <w:sz w:val="22"/>
        </w:rPr>
        <w:t>：工业金属（铜）与贵金属（金）在近两月均处强势板块；公司主业与新增板块直接对齐“资源涨价+产能扩张+海外布局”的热门赛道逻辑，叠加公司治理与资本运作动作，形成股价阶段性趋势与放量。（该信息发布日期为20251016）</w:t>
      </w:r>
    </w:p>
    <w:p>
      <w:pPr>
        <w:numPr>
          <w:ilvl w:val="0"/>
          <w:numId w:val="8"/>
        </w:numPr>
        <w:spacing w:before="0" w:after="0"/>
        <w:jc w:val="left"/>
      </w:pPr>
    </w:p>
    <w:p>
      <w:pPr>
        <w:spacing w:before="180" w:after="180"/>
        <w:ind w:left="120"/>
        <w:jc w:val="left"/>
      </w:pPr>
      <w:r>
        <w:rPr>
          <w:rFonts w:ascii="Times New Roman" w:hAnsi="Times New Roman"/>
          <w:b/>
          <w:i w:val="false"/>
          <w:color w:val="000000"/>
          <w:sz w:val="33"/>
        </w:rPr>
        <w:t>7. 事件与影响速览（摘要表）</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2005"/>
        <w:gridCol w:w="2345"/>
        <w:gridCol w:w="5270"/>
        <w:gridCol w:w="4014"/>
      </w:tblGrid>
      <w:tr>
        <w:trPr>
          <w:trHeight w:val="525"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时间</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事件</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关键内容</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可能影响</w:t>
            </w:r>
          </w:p>
        </w:tc>
      </w:tr>
      <w:tr>
        <w:trPr>
          <w:trHeight w:val="780"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2025-10-29</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三季报披露</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营收217.2亿、归母净利17.0亿；Q3营收79.1亿、归母净利6.5亿</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业绩稳健，基本面支撑估值重估与股价趋势延续。</w:t>
            </w:r>
          </w:p>
        </w:tc>
      </w:tr>
      <w:tr>
        <w:trPr>
          <w:trHeight w:val="780"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2025-10-29</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铜价与供给展望</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2025/2026全球铜矿增量下调；Q3均价7.96万/吨，现货8.8万/吨</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提升公司铜业务利润弹性与“涨价股”属性，强化资金关注。</w:t>
            </w:r>
          </w:p>
        </w:tc>
      </w:tr>
      <w:tr>
        <w:trPr>
          <w:trHeight w:val="780"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2025-10-15~19</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收购Loncor/Adumbi</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2.61亿加元交易；资源合计约123.5-123.7吨；360万吨/年规划</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明确的黄金中期增量主线，带动板块预期与公司估值溢价。</w:t>
            </w:r>
          </w:p>
        </w:tc>
      </w:tr>
      <w:tr>
        <w:trPr>
          <w:trHeight w:val="780"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2025-10-16</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投产路径与Capex</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基建期约1年、爬坡2年；Capex约3-4亿美元；产品金精矿</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中期业绩增长路径清晰，估值前瞻性改善（执行力为关键）。</w:t>
            </w:r>
          </w:p>
        </w:tc>
      </w:tr>
      <w:tr>
        <w:trPr>
          <w:trHeight w:val="780"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2025-10-29</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铜钴产能与扩建</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H1铜产量10.18万吨；BMS扩至12万金属吨/年</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主业扩产与规模效应，利润与现金流改善预期增强。</w:t>
            </w:r>
          </w:p>
        </w:tc>
      </w:tr>
      <w:tr>
        <w:trPr>
          <w:trHeight w:val="780"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2025-10-24</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回购与制度修订</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回购累计2.79亿元；章程与多项制度修订</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资本运作与治理优化，提升市场对稳健经营的认可度。</w:t>
            </w:r>
          </w:p>
        </w:tc>
      </w:tr>
      <w:tr>
        <w:trPr>
          <w:trHeight w:val="855" w:hRule="atLeast"/>
        </w:trPr>
        <w:tc>
          <w:tcPr>
            <w:tcW w:w="200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2025-11-12~13</w:t>
            </w:r>
          </w:p>
        </w:tc>
        <w:tc>
          <w:tcPr>
            <w:tcW w:w="234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海外平台增资与管理变更</w:t>
            </w:r>
          </w:p>
        </w:tc>
        <w:tc>
          <w:tcPr>
            <w:tcW w:w="527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增资19,995万美元；管理层调整</w:t>
            </w:r>
          </w:p>
        </w:tc>
        <w:tc>
          <w:tcPr>
            <w:tcW w:w="401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推进国际化与黄金平台搭建，改善亏损板块管理预期。</w:t>
            </w:r>
          </w:p>
        </w:tc>
      </w:tr>
    </w:tbl>
    <w:p>
      <w:pPr>
        <w:spacing w:before="180" w:after="180"/>
        <w:ind w:left="120"/>
        <w:jc w:val="left"/>
      </w:pPr>
      <w:r>
        <w:rPr>
          <w:rFonts w:ascii="Times New Roman" w:hAnsi="Times New Roman"/>
          <w:b/>
          <w:i w:val="false"/>
          <w:color w:val="000000"/>
          <w:sz w:val="33"/>
        </w:rPr>
        <w:t>8. 风险提示与与市场不同的观点（审慎与批判）</w:t>
      </w:r>
    </w:p>
    <w:p>
      <w:pPr>
        <w:numPr>
          <w:ilvl w:val="0"/>
          <w:numId w:val="9"/>
        </w:numPr>
        <w:spacing w:before="0" w:after="0"/>
        <w:jc w:val="left"/>
      </w:pPr>
      <w:r>
        <w:rPr>
          <w:rFonts w:ascii="Times New Roman" w:hAnsi="Times New Roman"/>
          <w:b/>
          <w:i w:val="false"/>
          <w:color w:val="000000"/>
          <w:sz w:val="22"/>
        </w:rPr>
        <w:t>纪要口径的数据一致性问题</w:t>
      </w:r>
      <w:r>
        <w:rPr>
          <w:rFonts w:ascii="Times New Roman" w:hAnsi="Times New Roman"/>
          <w:b w:val="false"/>
          <w:i w:val="false"/>
          <w:color w:val="000000"/>
          <w:sz w:val="22"/>
        </w:rPr>
        <w:t>：投资者交流纪要中关于氢氧化钴“万吨级”产量与价格表达存在口述不一致的可能（例如“30万吨以上”“奔着40万吨”），与公司规范披露的节奏和单位口径可能不一致；建议以定期报告与正式公告口径为准，纪要视作交流层面的非正式信息。（该信息发布日期为20251016）</w:t>
      </w:r>
    </w:p>
    <w:p>
      <w:pPr>
        <w:numPr>
          <w:ilvl w:val="0"/>
          <w:numId w:val="9"/>
        </w:numPr>
        <w:spacing w:before="0" w:after="0"/>
        <w:jc w:val="left"/>
      </w:pPr>
      <w:r>
        <w:rPr>
          <w:rFonts w:ascii="Times New Roman" w:hAnsi="Times New Roman"/>
          <w:b/>
          <w:i w:val="false"/>
          <w:color w:val="000000"/>
          <w:sz w:val="22"/>
        </w:rPr>
        <w:t>Adumbi账面价值的传播与现实差距</w:t>
      </w:r>
      <w:r>
        <w:rPr>
          <w:rFonts w:ascii="Times New Roman" w:hAnsi="Times New Roman"/>
          <w:b w:val="false"/>
          <w:i w:val="false"/>
          <w:color w:val="000000"/>
          <w:sz w:val="22"/>
        </w:rPr>
        <w:t>：网络广泛传播的“资源量×金价”的账面价值测算未计入Capex、税费、折现与工程执行风险；尽调与工程能力虽构成支撑，但真正的现金回报将取决于</w:t>
      </w:r>
      <w:r>
        <w:rPr>
          <w:rFonts w:ascii="Times New Roman" w:hAnsi="Times New Roman"/>
          <w:b/>
          <w:i w:val="false"/>
          <w:color w:val="000000"/>
          <w:sz w:val="22"/>
        </w:rPr>
        <w:t>工程进度、成本控制、品位与回收率、社区与政策治理</w:t>
      </w:r>
      <w:r>
        <w:rPr>
          <w:rFonts w:ascii="Times New Roman" w:hAnsi="Times New Roman"/>
          <w:b w:val="false"/>
          <w:i w:val="false"/>
          <w:color w:val="000000"/>
          <w:sz w:val="22"/>
        </w:rPr>
        <w:t>等多因素，需审慎看待“高风险高回报”结构。（该信息发布日期为20251017/20251022）</w:t>
      </w:r>
    </w:p>
    <w:p>
      <w:pPr>
        <w:numPr>
          <w:ilvl w:val="0"/>
          <w:numId w:val="9"/>
        </w:numPr>
        <w:spacing w:before="0" w:after="0"/>
        <w:jc w:val="left"/>
      </w:pPr>
      <w:r>
        <w:rPr>
          <w:rFonts w:ascii="Times New Roman" w:hAnsi="Times New Roman"/>
          <w:b/>
          <w:i w:val="false"/>
          <w:color w:val="000000"/>
          <w:sz w:val="22"/>
        </w:rPr>
        <w:t>海外经营与政策风险</w:t>
      </w:r>
      <w:r>
        <w:rPr>
          <w:rFonts w:ascii="Times New Roman" w:hAnsi="Times New Roman"/>
          <w:b w:val="false"/>
          <w:i w:val="false"/>
          <w:color w:val="000000"/>
          <w:sz w:val="22"/>
        </w:rPr>
        <w:t>：公司海外项目较多，存在一定经营风险；大宗商品价格波动（铜、钴、镍）可能显著影响业绩与估值；钴配额政策的节奏、执行力度与深加工导向亦将影响实际销量与利润实现的时间分布。（该信息发布日期为20251029/20251029/20251103）</w:t>
      </w:r>
    </w:p>
    <w:p>
      <w:pPr>
        <w:numPr>
          <w:ilvl w:val="0"/>
          <w:numId w:val="9"/>
        </w:numPr>
        <w:spacing w:before="0" w:after="0"/>
        <w:jc w:val="left"/>
      </w:pPr>
    </w:p>
    <w:p>
      <w:pPr>
        <w:spacing w:before="180" w:after="180"/>
        <w:ind w:left="120"/>
        <w:jc w:val="left"/>
      </w:pPr>
      <w:r>
        <w:rPr>
          <w:rFonts w:ascii="Times New Roman" w:hAnsi="Times New Roman"/>
          <w:b/>
          <w:i w:val="false"/>
          <w:color w:val="000000"/>
          <w:sz w:val="33"/>
        </w:rPr>
        <w:t>【可能延伸的思考维度】</w:t>
      </w:r>
    </w:p>
    <w:p>
      <w:pPr>
        <w:numPr>
          <w:ilvl w:val="0"/>
          <w:numId w:val="10"/>
        </w:numPr>
        <w:spacing w:before="0" w:after="0"/>
        <w:jc w:val="left"/>
      </w:pPr>
      <w:r>
        <w:rPr>
          <w:rFonts w:ascii="Times New Roman" w:hAnsi="Times New Roman"/>
          <w:b w:val="false"/>
          <w:i w:val="false"/>
          <w:color w:val="000000"/>
          <w:sz w:val="22"/>
        </w:rPr>
        <w:t>Adumbi项目的详细现金流模型与敏感性分析（品位、回收率、Capex超支、金价情境）。</w:t>
      </w:r>
    </w:p>
    <w:p>
      <w:pPr>
        <w:numPr>
          <w:ilvl w:val="0"/>
          <w:numId w:val="10"/>
        </w:numPr>
        <w:spacing w:before="0" w:after="0"/>
        <w:jc w:val="left"/>
      </w:pPr>
      <w:r>
        <w:rPr>
          <w:rFonts w:ascii="Times New Roman" w:hAnsi="Times New Roman"/>
          <w:b w:val="false"/>
          <w:i w:val="false"/>
          <w:color w:val="000000"/>
          <w:sz w:val="22"/>
        </w:rPr>
        <w:t>钴配额情境下的产销节奏与库存管理对利润表与现金流的跨期影响拆解。</w:t>
      </w:r>
    </w:p>
    <w:p>
      <w:pPr>
        <w:numPr>
          <w:ilvl w:val="0"/>
          <w:numId w:val="10"/>
        </w:numPr>
        <w:spacing w:before="0" w:after="0"/>
        <w:jc w:val="left"/>
      </w:pPr>
      <w:r>
        <w:rPr>
          <w:rFonts w:ascii="Times New Roman" w:hAnsi="Times New Roman"/>
          <w:b w:val="false"/>
          <w:i w:val="false"/>
          <w:color w:val="000000"/>
          <w:sz w:val="22"/>
        </w:rPr>
        <w:t>铜价中枢抬升路径与公司铜业务毛利率/产量扩张的弹性测算（结合BMS扩产进度）。</w:t>
      </w:r>
    </w:p>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jpeg" Type="http://schemas.openxmlformats.org/officeDocument/2006/relationships/image" Id="rId4"/>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