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3.9 (Apache licensed) using REFERENCE JAXB in Oracle Java 1.8.0_321 on Linux -->
    <w:p>
      <w:pPr>
        <w:spacing w:before="300" w:after="300"/>
        <w:ind w:left="120"/>
        <w:jc w:val="center"/>
      </w:pPr>
      <w:r>
        <w:rPr>
          <w:rFonts w:ascii="Times New Roman" w:hAnsi="Times New Roman"/>
          <w:b/>
          <w:i w:val="false"/>
          <w:color w:val="000000"/>
          <w:sz w:val="30"/>
        </w:rPr>
        <w:t xml:space="preserve"> 你是一位专业的股票研究员，同时兼具很强的... </w:t>
      </w: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结论</w:t>
      </w:r>
    </w:p>
    <w:p>
      <w:pPr>
        <w:numPr>
          <w:ilvl w:val="0"/>
          <w:numId w:val="1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近期股价显著上涨的核心驱动：控制权拟变更与要约收购事件落地、叠加Q3与前三季度净利同比大幅增长（其中约1.90亿元土地征收补偿的一次性收益显著增厚利润），以及新控股方提出的“AI大模型智能体平台赋能”预期，引发市场对公司治理与业务转型的再定价。复牌当日与次日股价连续涨停/大涨，直接指向事件驱动的行情。</w:t>
      </w:r>
    </w:p>
    <w:p>
      <w:pPr>
        <w:numPr>
          <w:ilvl w:val="0"/>
          <w:numId w:val="1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与当前“人工智能+”产业加速的市场热点形成共振，新控股股东背景与AI赋能表述，提升了市场对公司基本面改善与新增长曲线的预期。</w:t>
      </w: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1. 公司基本信息（公司/行业/业务/股权/负责人）</w:t>
      </w:r>
    </w:p>
    <w:p>
      <w:pPr>
        <w:numPr>
          <w:ilvl w:val="0"/>
          <w:numId w:val="2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公司名称/代码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：浙江真爱美家股份有限公司，股票简称“真爱美家”，代码003041，上市地：深圳证券交易所；法定代表人：郑期中。（该信息发布日期为20250823）</w:t>
      </w:r>
    </w:p>
    <w:p>
      <w:pPr>
        <w:numPr>
          <w:ilvl w:val="0"/>
          <w:numId w:val="2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行业/主营业务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公司是一家以毛毯为主的家用纺织品研发、设计、生产与销售企业，主要产品包括毛毯、地毯及床上用品（套件、被芯、枕芯等），并少量销售毛巾、家居服及包装物；毛毯、地毯由子公司“真爱毯业”“真爱家居”负责，母公司“真爱美家”负责床上用品的设计、品牌运营与销售。（该信息发布日期为20250823）</w:t>
      </w:r>
    </w:p>
    <w:p>
      <w:pPr>
        <w:numPr>
          <w:ilvl w:val="0"/>
          <w:numId w:val="2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销售模式/渠道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：外销主要采取ODM/OEM/自有品牌直销；内销毛毯、地毯同样为ODM/OEM/自有品牌结合；床上用品内销主要为自有品牌，经销+直销+直营门店零售；线上销售与第三方平台合作为主。（该信息发布日期为20250823）</w:t>
      </w:r>
    </w:p>
    <w:p>
      <w:pPr>
        <w:numPr>
          <w:ilvl w:val="0"/>
          <w:numId w:val="2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区位/供应链优势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：位于浙江，靠近萧山、桐乡、绍兴等原材料产地与宁波港，且受益义乌中欧班列通道，有利于品质保障与效率提升。（该信息发布日期为20250823）</w:t>
      </w:r>
    </w:p>
    <w:p>
      <w:pPr>
        <w:numPr>
          <w:ilvl w:val="0"/>
          <w:numId w:val="2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股东结构（H1披露截面）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：真爱集团持股46.37%（部分股份质押），义乌博信持股11.59%（部分股份质押），郑其明/郑期中等为前十大股东；报告期末普通股股东总数6,358。（该信息发布日期为20250823）</w:t>
      </w:r>
    </w:p>
    <w:p>
      <w:pPr>
        <w:numPr>
          <w:ilvl w:val="0"/>
          <w:numId w:val="2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负责人/关联方概览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：法定代表人郑期中；其他关联方包括义乌华鼎锦纶、浙江亚特新材料等受同一方控制的公司。（该信息发布日期为20250823）</w:t>
      </w:r>
    </w:p>
    <w:p>
      <w:pPr>
        <w:numPr>
          <w:ilvl w:val="0"/>
          <w:numId w:val="2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同类公司/创始人更详细资料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：不清楚（公开资料未提供可直接比对的同业上市公司清单或创始人简历）。（该信息发布日期为20250823）</w:t>
      </w: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2. 近期公开的最新业务与经营进展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25Q3与前三季度业绩亮点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25Q3单季：营业收入</w:t>
      </w:r>
      <w:r>
        <w:rPr>
          <w:rFonts w:ascii="Times New Roman" w:hAnsi="Times New Roman"/>
          <w:b/>
          <w:i w:val="false"/>
          <w:color w:val="000000"/>
          <w:sz w:val="22"/>
        </w:rPr>
        <w:t>3.343亿元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，同比**+10.19%</w:t>
      </w:r>
      <w:r>
        <w:rPr>
          <w:rFonts w:ascii="Times New Roman" w:hAnsi="Times New Roman"/>
          <w:b/>
          <w:i w:val="false"/>
          <w:color w:val="000000"/>
          <w:sz w:val="22"/>
        </w:rPr>
        <w:t>；归母净利润</w:t>
      </w:r>
      <w:r>
        <w:rPr>
          <w:rFonts w:ascii="Times New Roman" w:hAnsi="Times New Roman"/>
          <w:b w:val="false"/>
          <w:i w:val="false"/>
          <w:color w:val="000000"/>
          <w:sz w:val="22"/>
        </w:rPr>
        <w:t>0.334亿元**，同比**+48.93%</w:t>
      </w:r>
      <w:r>
        <w:rPr>
          <w:rFonts w:ascii="Times New Roman" w:hAnsi="Times New Roman"/>
          <w:b/>
          <w:i w:val="false"/>
          <w:color w:val="000000"/>
          <w:sz w:val="22"/>
        </w:rPr>
        <w:t>；扣非归母净利润</w:t>
      </w:r>
      <w:r>
        <w:rPr>
          <w:rFonts w:ascii="Times New Roman" w:hAnsi="Times New Roman"/>
          <w:b w:val="false"/>
          <w:i w:val="false"/>
          <w:color w:val="000000"/>
          <w:sz w:val="22"/>
        </w:rPr>
        <w:t>0.310亿元**，同比**+68.38%**。（该信息发布日期为20251025）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25年1-9月累计：营业收入</w:t>
      </w:r>
      <w:r>
        <w:rPr>
          <w:rFonts w:ascii="Times New Roman" w:hAnsi="Times New Roman"/>
          <w:b/>
          <w:i w:val="false"/>
          <w:color w:val="000000"/>
          <w:sz w:val="22"/>
        </w:rPr>
        <w:t>7.242亿元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，同比**+16.16%</w:t>
      </w:r>
      <w:r>
        <w:rPr>
          <w:rFonts w:ascii="Times New Roman" w:hAnsi="Times New Roman"/>
          <w:b/>
          <w:i w:val="false"/>
          <w:color w:val="000000"/>
          <w:sz w:val="22"/>
        </w:rPr>
        <w:t>；归母净利润</w:t>
      </w:r>
      <w:r>
        <w:rPr>
          <w:rFonts w:ascii="Times New Roman" w:hAnsi="Times New Roman"/>
          <w:b w:val="false"/>
          <w:i w:val="false"/>
          <w:color w:val="000000"/>
          <w:sz w:val="22"/>
        </w:rPr>
        <w:t>2.303亿元**，同比**+310.28%</w:t>
      </w:r>
      <w:r>
        <w:rPr>
          <w:rFonts w:ascii="Times New Roman" w:hAnsi="Times New Roman"/>
          <w:b/>
          <w:i w:val="false"/>
          <w:color w:val="000000"/>
          <w:sz w:val="22"/>
        </w:rPr>
        <w:t>；经营活动现金流净额</w:t>
      </w:r>
      <w:r>
        <w:rPr>
          <w:rFonts w:ascii="Times New Roman" w:hAnsi="Times New Roman"/>
          <w:b w:val="false"/>
          <w:i w:val="false"/>
          <w:color w:val="000000"/>
          <w:sz w:val="22"/>
        </w:rPr>
        <w:t>0.756亿元**，同比**+127.10%**。（该信息发布日期为20251025）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利润结构重要说明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：归母净利润大幅增长主要系报告期内收到约</w:t>
      </w:r>
      <w:r>
        <w:rPr>
          <w:rFonts w:ascii="Times New Roman" w:hAnsi="Times New Roman"/>
          <w:b/>
          <w:i w:val="false"/>
          <w:color w:val="000000"/>
          <w:sz w:val="22"/>
        </w:rPr>
        <w:t>1.90亿元土地征收补偿款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（一次性收益）。（该信息发布日期为20251105）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资产负债结构变化（Q3报表截面）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：期末货币资金</w:t>
      </w:r>
      <w:r>
        <w:rPr>
          <w:rFonts w:ascii="Times New Roman" w:hAnsi="Times New Roman"/>
          <w:b/>
          <w:i w:val="false"/>
          <w:color w:val="000000"/>
          <w:sz w:val="22"/>
        </w:rPr>
        <w:t>0.533亿元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（期初</w:t>
      </w:r>
      <w:r>
        <w:rPr>
          <w:rFonts w:ascii="Times New Roman" w:hAnsi="Times New Roman"/>
          <w:b/>
          <w:i w:val="false"/>
          <w:color w:val="000000"/>
          <w:sz w:val="22"/>
        </w:rPr>
        <w:t>2.021亿元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）；应收账款</w:t>
      </w:r>
      <w:r>
        <w:rPr>
          <w:rFonts w:ascii="Times New Roman" w:hAnsi="Times New Roman"/>
          <w:b/>
          <w:i w:val="false"/>
          <w:color w:val="000000"/>
          <w:sz w:val="22"/>
        </w:rPr>
        <w:t>2.889亿元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（期初</w:t>
      </w:r>
      <w:r>
        <w:rPr>
          <w:rFonts w:ascii="Times New Roman" w:hAnsi="Times New Roman"/>
          <w:b/>
          <w:i w:val="false"/>
          <w:color w:val="000000"/>
          <w:sz w:val="22"/>
        </w:rPr>
        <w:t>1.974亿元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）；存货</w:t>
      </w:r>
      <w:r>
        <w:rPr>
          <w:rFonts w:ascii="Times New Roman" w:hAnsi="Times New Roman"/>
          <w:b/>
          <w:i w:val="false"/>
          <w:color w:val="000000"/>
          <w:sz w:val="22"/>
        </w:rPr>
        <w:t>1.728亿元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（期初</w:t>
      </w:r>
      <w:r>
        <w:rPr>
          <w:rFonts w:ascii="Times New Roman" w:hAnsi="Times New Roman"/>
          <w:b/>
          <w:i w:val="false"/>
          <w:color w:val="000000"/>
          <w:sz w:val="22"/>
        </w:rPr>
        <w:t>2.033亿元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）；其他流动资产</w:t>
      </w:r>
      <w:r>
        <w:rPr>
          <w:rFonts w:ascii="Times New Roman" w:hAnsi="Times New Roman"/>
          <w:b/>
          <w:i w:val="false"/>
          <w:color w:val="000000"/>
          <w:sz w:val="22"/>
        </w:rPr>
        <w:t>1.224亿元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（期初</w:t>
      </w:r>
      <w:r>
        <w:rPr>
          <w:rFonts w:ascii="Times New Roman" w:hAnsi="Times New Roman"/>
          <w:b/>
          <w:i w:val="false"/>
          <w:color w:val="000000"/>
          <w:sz w:val="22"/>
        </w:rPr>
        <w:t>0.316亿元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）；固定资产</w:t>
      </w:r>
      <w:r>
        <w:rPr>
          <w:rFonts w:ascii="Times New Roman" w:hAnsi="Times New Roman"/>
          <w:b/>
          <w:i w:val="false"/>
          <w:color w:val="000000"/>
          <w:sz w:val="22"/>
        </w:rPr>
        <w:t>12.853亿元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（期初</w:t>
      </w:r>
      <w:r>
        <w:rPr>
          <w:rFonts w:ascii="Times New Roman" w:hAnsi="Times New Roman"/>
          <w:b/>
          <w:i w:val="false"/>
          <w:color w:val="000000"/>
          <w:sz w:val="22"/>
        </w:rPr>
        <w:t>13.414亿元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）。（该信息发布日期为20251025）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治理/资本运作动态（时间轴）</w:t>
      </w:r>
    </w:p>
    <w:tbl>
      <w:tblPr>
        <w:tblW w:w="0" w:type="auto"/>
        <w:tblCellSpacing w:w="0" w:type="auto"/>
        <w:tblInd w:w="115" w:type="dxa"/>
        <w:tblBorders>
          <w:top w:val="single" w:color="aaaaaa" w:sz="8"/>
          <w:left w:val="single" w:color="aaaaaa" w:sz="8"/>
          <w:bottom w:val="single" w:color="aaaaaa" w:sz="8"/>
          <w:right w:val="single" w:color="aaaaaa" w:sz="8"/>
          <w:insideH w:val="none"/>
          <w:insideV w:val="none"/>
        </w:tblBorders>
      </w:tblPr>
      <w:tblGrid>
        <w:gridCol w:w="2532"/>
        <w:gridCol w:w="3120"/>
        <w:gridCol w:w="7982"/>
      </w:tblGrid>
      <w:tr>
        <w:trPr>
          <w:trHeight w:val="525" w:hRule="atLeast"/>
        </w:trPr>
        <w:tc>
          <w:tcPr>
            <w:tcW w:w="2532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日期</w:t>
            </w:r>
          </w:p>
        </w:tc>
        <w:tc>
          <w:tcPr>
            <w:tcW w:w="3120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事项</w:t>
            </w:r>
          </w:p>
        </w:tc>
        <w:tc>
          <w:tcPr>
            <w:tcW w:w="7982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说明</w:t>
            </w:r>
          </w:p>
        </w:tc>
      </w:tr>
      <w:tr>
        <w:trPr>
          <w:trHeight w:val="510" w:hRule="atLeast"/>
        </w:trPr>
        <w:tc>
          <w:tcPr>
            <w:tcW w:w="2532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2025-11-05</w:t>
            </w:r>
          </w:p>
        </w:tc>
        <w:tc>
          <w:tcPr>
            <w:tcW w:w="3120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停牌公告</w:t>
            </w:r>
          </w:p>
        </w:tc>
        <w:tc>
          <w:tcPr>
            <w:tcW w:w="7982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因筹划控制权变更事项，公司股票停牌。</w:t>
            </w:r>
          </w:p>
        </w:tc>
      </w:tr>
      <w:tr>
        <w:trPr>
          <w:trHeight w:val="510" w:hRule="atLeast"/>
        </w:trPr>
        <w:tc>
          <w:tcPr>
            <w:tcW w:w="2532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2025-11-07</w:t>
            </w:r>
          </w:p>
        </w:tc>
        <w:tc>
          <w:tcPr>
            <w:tcW w:w="3120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继续停牌</w:t>
            </w:r>
          </w:p>
        </w:tc>
        <w:tc>
          <w:tcPr>
            <w:tcW w:w="7982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控制权变更事项继续停牌，预计不超3个交易日。</w:t>
            </w:r>
          </w:p>
        </w:tc>
      </w:tr>
      <w:tr>
        <w:trPr>
          <w:trHeight w:val="510" w:hRule="atLeast"/>
        </w:trPr>
        <w:tc>
          <w:tcPr>
            <w:tcW w:w="2532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2025-11-12</w:t>
            </w:r>
          </w:p>
        </w:tc>
        <w:tc>
          <w:tcPr>
            <w:tcW w:w="3120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复牌与进展</w:t>
            </w:r>
          </w:p>
        </w:tc>
        <w:tc>
          <w:tcPr>
            <w:tcW w:w="7982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披露筹划进展并复牌。</w:t>
            </w:r>
          </w:p>
        </w:tc>
      </w:tr>
      <w:tr>
        <w:trPr>
          <w:trHeight w:val="510" w:hRule="atLeast"/>
        </w:trPr>
        <w:tc>
          <w:tcPr>
            <w:tcW w:w="2532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2025-11-12</w:t>
            </w:r>
          </w:p>
        </w:tc>
        <w:tc>
          <w:tcPr>
            <w:tcW w:w="3120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控股股东签署股份转让协议</w:t>
            </w:r>
          </w:p>
        </w:tc>
        <w:tc>
          <w:tcPr>
            <w:tcW w:w="7982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提示性公告，控制权拟发生变更。</w:t>
            </w:r>
          </w:p>
        </w:tc>
      </w:tr>
      <w:tr>
        <w:trPr>
          <w:trHeight w:val="510" w:hRule="atLeast"/>
        </w:trPr>
        <w:tc>
          <w:tcPr>
            <w:tcW w:w="2532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2025-11-12</w:t>
            </w:r>
          </w:p>
        </w:tc>
        <w:tc>
          <w:tcPr>
            <w:tcW w:w="3120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要约收购报告书摘要</w:t>
            </w:r>
          </w:p>
        </w:tc>
        <w:tc>
          <w:tcPr>
            <w:tcW w:w="7982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收到要约收购报告书摘要的提示性公告与摘要文本。</w:t>
            </w:r>
          </w:p>
        </w:tc>
      </w:tr>
      <w:tr>
        <w:trPr>
          <w:trHeight w:val="510" w:hRule="atLeast"/>
        </w:trPr>
        <w:tc>
          <w:tcPr>
            <w:tcW w:w="2532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2025-11-12</w:t>
            </w:r>
          </w:p>
        </w:tc>
        <w:tc>
          <w:tcPr>
            <w:tcW w:w="3120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召开临时股东会通知</w:t>
            </w:r>
          </w:p>
        </w:tc>
        <w:tc>
          <w:tcPr>
            <w:tcW w:w="7982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2025年第一次临时股东会通知。</w:t>
            </w:r>
          </w:p>
        </w:tc>
      </w:tr>
      <w:tr>
        <w:trPr>
          <w:trHeight w:val="510" w:hRule="atLeast"/>
        </w:trPr>
        <w:tc>
          <w:tcPr>
            <w:tcW w:w="2532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2025-11-12</w:t>
            </w:r>
          </w:p>
        </w:tc>
        <w:tc>
          <w:tcPr>
            <w:tcW w:w="3120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董事会决议/章程修改</w:t>
            </w:r>
          </w:p>
        </w:tc>
        <w:tc>
          <w:tcPr>
            <w:tcW w:w="7982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第四届董事会第十六次会议决议与章程部分条款修改。</w:t>
            </w:r>
          </w:p>
        </w:tc>
      </w:tr>
      <w:tr>
        <w:trPr>
          <w:trHeight w:val="510" w:hRule="atLeast"/>
        </w:trPr>
        <w:tc>
          <w:tcPr>
            <w:tcW w:w="2532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2025-11-12</w:t>
            </w:r>
          </w:p>
        </w:tc>
        <w:tc>
          <w:tcPr>
            <w:tcW w:w="3120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股东及董监高承诺</w:t>
            </w:r>
          </w:p>
        </w:tc>
        <w:tc>
          <w:tcPr>
            <w:tcW w:w="7982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关于豁免控股股东及实际控制人、董事长自愿性股份限售及锁定承诺的公告。</w:t>
            </w:r>
          </w:p>
        </w:tc>
      </w:tr>
      <w:tr>
        <w:trPr>
          <w:trHeight w:val="510" w:hRule="atLeast"/>
        </w:trPr>
        <w:tc>
          <w:tcPr>
            <w:tcW w:w="2532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2025-10-31</w:t>
            </w:r>
          </w:p>
        </w:tc>
        <w:tc>
          <w:tcPr>
            <w:tcW w:w="3120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一致行动人未减持</w:t>
            </w:r>
          </w:p>
        </w:tc>
        <w:tc>
          <w:tcPr>
            <w:tcW w:w="7982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一致行动人减持计划期限届满未减持公告。</w:t>
            </w:r>
          </w:p>
        </w:tc>
      </w:tr>
    </w:tbl>
    <w:p>
      <w:pPr>
        <w:spacing w:before="269" w:after="269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外汇管理/风控动作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：公司公告继续开展外汇衍生品交易业务（2025-10-25）。（该信息发布日期为20251025）</w:t>
      </w: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3. 正在筹备/刚启动，且有望形成新增长点的事项</w:t>
      </w:r>
    </w:p>
    <w:p>
      <w:pPr>
        <w:numPr>
          <w:ilvl w:val="0"/>
          <w:numId w:val="4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控制权拟变更与AI赋能预期</w:t>
      </w:r>
    </w:p>
    <w:p>
      <w:pPr>
        <w:numPr>
          <w:ilvl w:val="0"/>
          <w:numId w:val="4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真爱集团与广州探迹远擎签署《股份转让协议》，控制权拟发生变更；公司披露要约收购摘要并复牌。（该信息发布日期为20251112）</w:t>
      </w:r>
    </w:p>
    <w:p>
      <w:pPr>
        <w:numPr>
          <w:ilvl w:val="0"/>
          <w:numId w:val="4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多家媒体梳理交易细节：探迹远擎拟协议受让</w:t>
      </w:r>
      <w:r>
        <w:rPr>
          <w:rFonts w:ascii="Times New Roman" w:hAnsi="Times New Roman"/>
          <w:b/>
          <w:i w:val="false"/>
          <w:color w:val="000000"/>
          <w:sz w:val="22"/>
        </w:rPr>
        <w:t>29.99%</w:t>
      </w:r>
      <w:r>
        <w:rPr>
          <w:rFonts w:ascii="Times New Roman" w:hAnsi="Times New Roman"/>
          <w:b/>
          <w:i w:val="false"/>
          <w:color w:val="000000"/>
          <w:sz w:val="22"/>
        </w:rPr>
        <w:t>股份（约</w:t>
      </w:r>
      <w:r>
        <w:rPr>
          <w:rFonts w:ascii="Times New Roman" w:hAnsi="Times New Roman"/>
          <w:b/>
          <w:i w:val="false"/>
          <w:color w:val="000000"/>
          <w:sz w:val="22"/>
        </w:rPr>
        <w:t>4318.56万股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，单价</w:t>
      </w:r>
      <w:r>
        <w:rPr>
          <w:rFonts w:ascii="Times New Roman" w:hAnsi="Times New Roman"/>
          <w:b/>
          <w:i w:val="false"/>
          <w:color w:val="000000"/>
          <w:sz w:val="22"/>
        </w:rPr>
        <w:t>27.74元/股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，总价约</w:t>
      </w:r>
      <w:r>
        <w:rPr>
          <w:rFonts w:ascii="Times New Roman" w:hAnsi="Times New Roman"/>
          <w:b/>
          <w:i w:val="false"/>
          <w:color w:val="000000"/>
          <w:sz w:val="22"/>
        </w:rPr>
        <w:t>11.98亿元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），并计划通过要约收购合计获得</w:t>
      </w:r>
      <w:r>
        <w:rPr>
          <w:rFonts w:ascii="Times New Roman" w:hAnsi="Times New Roman"/>
          <w:b/>
          <w:i w:val="false"/>
          <w:color w:val="000000"/>
          <w:sz w:val="22"/>
        </w:rPr>
        <w:t>44.99%</w:t>
      </w:r>
      <w:r>
        <w:rPr>
          <w:rFonts w:ascii="Times New Roman" w:hAnsi="Times New Roman"/>
          <w:b/>
          <w:i w:val="false"/>
          <w:color w:val="000000"/>
          <w:sz w:val="22"/>
        </w:rPr>
        <w:t>表决权；交易完成后</w:t>
      </w:r>
      <w:r>
        <w:rPr>
          <w:rFonts w:ascii="Times New Roman" w:hAnsi="Times New Roman"/>
          <w:b/>
          <w:i w:val="false"/>
          <w:color w:val="000000"/>
          <w:sz w:val="22"/>
        </w:rPr>
        <w:t>实际控制人拟变更为黎展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（探迹科技董事长）。上述媒体亦称拟向除其外的股东发出要约收购</w:t>
      </w:r>
      <w:r>
        <w:rPr>
          <w:rFonts w:ascii="Times New Roman" w:hAnsi="Times New Roman"/>
          <w:b/>
          <w:i w:val="false"/>
          <w:color w:val="000000"/>
          <w:sz w:val="22"/>
        </w:rPr>
        <w:t>2160万股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，金额近</w:t>
      </w:r>
      <w:r>
        <w:rPr>
          <w:rFonts w:ascii="Times New Roman" w:hAnsi="Times New Roman"/>
          <w:b/>
          <w:i w:val="false"/>
          <w:color w:val="000000"/>
          <w:sz w:val="22"/>
        </w:rPr>
        <w:t>6亿元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（以媒体口径为准）。（该信息发布日期为20251112）</w:t>
      </w:r>
    </w:p>
    <w:p>
      <w:pPr>
        <w:numPr>
          <w:ilvl w:val="0"/>
          <w:numId w:val="4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公司关于收购目的的表述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：收购人及其实际控制人可运用</w:t>
      </w:r>
      <w:r>
        <w:rPr>
          <w:rFonts w:ascii="Times New Roman" w:hAnsi="Times New Roman"/>
          <w:b/>
          <w:i w:val="false"/>
          <w:color w:val="000000"/>
          <w:sz w:val="22"/>
        </w:rPr>
        <w:t>大数据与人工智能服务经验</w:t>
      </w:r>
      <w:r>
        <w:rPr>
          <w:rFonts w:ascii="Times New Roman" w:hAnsi="Times New Roman"/>
          <w:b w:val="false"/>
          <w:i w:val="false"/>
          <w:color w:val="000000"/>
          <w:sz w:val="22"/>
        </w:rPr>
        <w:t>为上市公司发展赋能，提升盈利与抗风险能力。（公司自述）（该信息发布日期为20251112）</w:t>
      </w:r>
    </w:p>
    <w:p>
      <w:pPr>
        <w:numPr>
          <w:ilvl w:val="0"/>
          <w:numId w:val="4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结合“人工智能+”政策导向（行业研究信息）：我国AI产业发展加速，有望提升“AI赋能实体”的市场关注度，为受AI平台赋能的传统制造/消费企业提供新的增长叙事与资本市场关注度。（行业点评）（该信息发布日期为202510）</w:t>
      </w:r>
    </w:p>
    <w:p>
      <w:pPr>
        <w:numPr>
          <w:ilvl w:val="0"/>
          <w:numId w:val="4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公司治理与制度层面衔接工作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：披露董事会决议与章程条款修改，为控制权变更及后续治理变更作准备（具体条款以公告为准）。（该信息发布日期为20251112）</w:t>
      </w: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4. 新的业务订单信息</w:t>
      </w:r>
    </w:p>
    <w:p>
      <w:pPr>
        <w:numPr>
          <w:ilvl w:val="0"/>
          <w:numId w:val="5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不清楚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（公开资料未出现针对“新客户/新增订单”的披露）。（该信息发布日期为20251025）</w:t>
      </w: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5. 网络信息与舆情中的业务潜力线索</w:t>
      </w:r>
    </w:p>
    <w:p>
      <w:pPr>
        <w:numPr>
          <w:ilvl w:val="0"/>
          <w:numId w:val="6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媒体对事件的市场解读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多家媒体/资讯号集中报道“控制权拟变更、新实控人为AI大模型智能体平台负责人黎展、拟要约收购与协议转让的交易安排”，并援引公司关于AI赋能的表述；复牌后股价迅速涨停/大涨，提升市场对新治理与数字化转型的关注度。（该信息发布日期为20251112）</w:t>
      </w:r>
    </w:p>
    <w:p>
      <w:pPr>
        <w:numPr>
          <w:ilvl w:val="0"/>
          <w:numId w:val="6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二级市场表现与事件对应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：2025-11-12复牌当日股价报</w:t>
      </w:r>
      <w:r>
        <w:rPr>
          <w:rFonts w:ascii="Times New Roman" w:hAnsi="Times New Roman"/>
          <w:b/>
          <w:i w:val="false"/>
          <w:color w:val="000000"/>
          <w:sz w:val="22"/>
        </w:rPr>
        <w:t>33.90元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，涨幅约</w:t>
      </w:r>
      <w:r>
        <w:rPr>
          <w:rFonts w:ascii="Times New Roman" w:hAnsi="Times New Roman"/>
          <w:b/>
          <w:i w:val="false"/>
          <w:color w:val="000000"/>
          <w:sz w:val="22"/>
        </w:rPr>
        <w:t>9.99%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（涨停）；2025-11-13收盘</w:t>
      </w:r>
      <w:r>
        <w:rPr>
          <w:rFonts w:ascii="Times New Roman" w:hAnsi="Times New Roman"/>
          <w:b/>
          <w:i w:val="false"/>
          <w:color w:val="000000"/>
          <w:sz w:val="22"/>
        </w:rPr>
        <w:t>37.29元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，涨幅</w:t>
      </w:r>
      <w:r>
        <w:rPr>
          <w:rFonts w:ascii="Times New Roman" w:hAnsi="Times New Roman"/>
          <w:b/>
          <w:i w:val="false"/>
          <w:color w:val="000000"/>
          <w:sz w:val="22"/>
        </w:rPr>
        <w:t>10.00%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；前期10月股价处于</w:t>
      </w:r>
      <w:r>
        <w:rPr>
          <w:rFonts w:ascii="Times New Roman" w:hAnsi="Times New Roman"/>
          <w:b/>
          <w:i w:val="false"/>
          <w:color w:val="000000"/>
          <w:sz w:val="22"/>
        </w:rPr>
        <w:t>22~33元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区间震荡，11月事件催化后显著上行。（该信息发布日期为20251113）</w:t>
      </w: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6. 业务进展/潜在增长点与市场热点的比对，及股价上涨的可能原因</w:t>
      </w:r>
    </w:p>
    <w:p>
      <w:pPr>
        <w:numPr>
          <w:ilvl w:val="0"/>
          <w:numId w:val="7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事件催化+确定性强的资本运作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控制权拟变更、要约收购报告书摘要与系列公告集中披露，属于对基本面与治理结构的“强催化”事件，提升了市场确定性与交易活跃度；复牌后连续涨停/大涨，价格行为与事件节奏高度一致。（该信息发布日期为20251112-13）</w:t>
      </w:r>
    </w:p>
    <w:p>
      <w:pPr>
        <w:numPr>
          <w:ilvl w:val="0"/>
          <w:numId w:val="7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基本面短期数据改善但结构需甄别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：前三季度归母净利同比大增（+310%），明确系</w:t>
      </w:r>
      <w:r>
        <w:rPr>
          <w:rFonts w:ascii="Times New Roman" w:hAnsi="Times New Roman"/>
          <w:b/>
          <w:i w:val="false"/>
          <w:color w:val="000000"/>
          <w:sz w:val="22"/>
        </w:rPr>
        <w:t>一次性土地征收补偿约1.90亿元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带动；Q3扣非净利与营收均有双位数增长，显示主营逐步修复，但“内生盈利改善的持续性仍需后续季度验证”。该“结构性增厚”与“事件驱动的治理变革”共振，构成近期再定价的两大支点。（该信息发布日期为20251105/20251025）</w:t>
      </w:r>
    </w:p>
    <w:p>
      <w:pPr>
        <w:numPr>
          <w:ilvl w:val="0"/>
          <w:numId w:val="7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AI赋能叙事与政策环境共振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：新控股股东背景与公司公告中的AI与大数据赋能表述，使公司被纳入“AI赋能实体产业”的潜在受益框架；与“人工智能+”政策加速的行业环境形成共振，增强市场对“数字化/智能化转型”带来中长期增量的</w:t>
      </w:r>
      <w:r>
        <w:rPr>
          <w:rFonts w:ascii="Times New Roman" w:hAnsi="Times New Roman"/>
          <w:b/>
          <w:i w:val="false"/>
          <w:color w:val="000000"/>
          <w:sz w:val="22"/>
        </w:rPr>
        <w:t>预期</w:t>
      </w:r>
      <w:r>
        <w:rPr>
          <w:rFonts w:ascii="Times New Roman" w:hAnsi="Times New Roman"/>
          <w:b w:val="false"/>
          <w:i w:val="false"/>
          <w:color w:val="000000"/>
          <w:sz w:val="22"/>
        </w:rPr>
        <w:t>。（市场热点与公司事件的相关性来自行业研究与公司公告表述）（该信息发布日期为202510/20251112）</w:t>
      </w:r>
    </w:p>
    <w:p>
      <w:pPr>
        <w:numPr>
          <w:ilvl w:val="0"/>
          <w:numId w:val="7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风险与分歧点（需审慎）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</w:t>
      </w:r>
    </w:p>
    <w:p>
      <w:pPr>
        <w:numPr>
          <w:ilvl w:val="0"/>
          <w:numId w:val="7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业绩结构中一次性收益占比高，</w:t>
      </w:r>
      <w:r>
        <w:rPr>
          <w:rFonts w:ascii="Times New Roman" w:hAnsi="Times New Roman"/>
          <w:b/>
          <w:i w:val="false"/>
          <w:color w:val="000000"/>
          <w:sz w:val="22"/>
        </w:rPr>
        <w:t>内生增长与经营现金流的可持续性</w:t>
      </w:r>
      <w:r>
        <w:rPr>
          <w:rFonts w:ascii="Times New Roman" w:hAnsi="Times New Roman"/>
          <w:b w:val="false"/>
          <w:i w:val="false"/>
          <w:color w:val="000000"/>
          <w:sz w:val="22"/>
        </w:rPr>
        <w:t>需后续验证。（该信息发布日期为20251105/20251025）</w:t>
      </w:r>
    </w:p>
    <w:p>
      <w:pPr>
        <w:numPr>
          <w:ilvl w:val="0"/>
          <w:numId w:val="7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控制权变更尚处实施阶段，</w:t>
      </w:r>
      <w:r>
        <w:rPr>
          <w:rFonts w:ascii="Times New Roman" w:hAnsi="Times New Roman"/>
          <w:b/>
          <w:i w:val="false"/>
          <w:color w:val="000000"/>
          <w:sz w:val="22"/>
        </w:rPr>
        <w:t>并购整合与战略落地进度、要约收购细则与后续治理优化的执行效果</w:t>
      </w:r>
      <w:r>
        <w:rPr>
          <w:rFonts w:ascii="Times New Roman" w:hAnsi="Times New Roman"/>
          <w:b w:val="false"/>
          <w:i w:val="false"/>
          <w:color w:val="000000"/>
          <w:sz w:val="22"/>
        </w:rPr>
        <w:t>存在不确定性。（该信息发布日期为20251112）</w:t>
      </w:r>
    </w:p>
    <w:p>
      <w:pPr>
        <w:numPr>
          <w:ilvl w:val="0"/>
          <w:numId w:val="7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新业务订单/具体AI赋能项目路径</w:t>
      </w:r>
      <w:r>
        <w:rPr>
          <w:rFonts w:ascii="Times New Roman" w:hAnsi="Times New Roman"/>
          <w:b w:val="false"/>
          <w:i w:val="false"/>
          <w:color w:val="000000"/>
          <w:sz w:val="22"/>
        </w:rPr>
        <w:t>目前公开资料尚未披露，短期股价更多反映事件预期而非已兑现的经营成果。（该信息发布日期为20251112）</w:t>
      </w: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7. 关键信息要点（摘要表）</w:t>
      </w:r>
    </w:p>
    <w:tbl>
      <w:tblPr>
        <w:tblW w:w="0" w:type="auto"/>
        <w:tblCellSpacing w:w="0" w:type="auto"/>
        <w:tblInd w:w="115" w:type="dxa"/>
        <w:tblBorders>
          <w:top w:val="single" w:color="aaaaaa" w:sz="8"/>
          <w:left w:val="single" w:color="aaaaaa" w:sz="8"/>
          <w:bottom w:val="single" w:color="aaaaaa" w:sz="8"/>
          <w:right w:val="single" w:color="aaaaaa" w:sz="8"/>
          <w:insideH w:val="none"/>
          <w:insideV w:val="none"/>
        </w:tblBorders>
      </w:tblPr>
      <w:tblGrid>
        <w:gridCol w:w="2137"/>
        <w:gridCol w:w="10083"/>
        <w:gridCol w:w="1414"/>
      </w:tblGrid>
      <w:tr>
        <w:trPr>
          <w:trHeight w:val="525" w:hRule="atLeast"/>
        </w:trPr>
        <w:tc>
          <w:tcPr>
            <w:tcW w:w="2137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要点</w:t>
            </w:r>
          </w:p>
        </w:tc>
        <w:tc>
          <w:tcPr>
            <w:tcW w:w="10083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具体信息</w:t>
            </w:r>
          </w:p>
        </w:tc>
        <w:tc>
          <w:tcPr>
            <w:tcW w:w="1414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依据</w:t>
            </w:r>
          </w:p>
        </w:tc>
      </w:tr>
      <w:tr>
        <w:trPr>
          <w:trHeight w:val="510" w:hRule="atLeast"/>
        </w:trPr>
        <w:tc>
          <w:tcPr>
            <w:tcW w:w="2137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事件驱动</w:t>
            </w:r>
          </w:p>
        </w:tc>
        <w:tc>
          <w:tcPr>
            <w:tcW w:w="10083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控制权拟变更、要约收购摘要披露、复牌</w:t>
            </w:r>
          </w:p>
        </w:tc>
        <w:tc>
          <w:tcPr>
            <w:tcW w:w="1414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/>
        </w:tc>
      </w:tr>
      <w:tr>
        <w:trPr>
          <w:trHeight w:val="510" w:hRule="atLeast"/>
        </w:trPr>
        <w:tc>
          <w:tcPr>
            <w:tcW w:w="2137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业绩结构</w:t>
            </w:r>
          </w:p>
        </w:tc>
        <w:tc>
          <w:tcPr>
            <w:tcW w:w="10083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前三季度净利+310%，含约1.90亿元一次性土地补偿</w:t>
            </w:r>
          </w:p>
        </w:tc>
        <w:tc>
          <w:tcPr>
            <w:tcW w:w="1414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/>
        </w:tc>
      </w:tr>
      <w:tr>
        <w:trPr>
          <w:trHeight w:val="510" w:hRule="atLeast"/>
        </w:trPr>
        <w:tc>
          <w:tcPr>
            <w:tcW w:w="2137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主营进展</w:t>
            </w:r>
          </w:p>
        </w:tc>
        <w:tc>
          <w:tcPr>
            <w:tcW w:w="10083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Q3营收+10.19%，扣非净利+68.38%</w:t>
            </w:r>
          </w:p>
        </w:tc>
        <w:tc>
          <w:tcPr>
            <w:tcW w:w="1414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/>
        </w:tc>
      </w:tr>
      <w:tr>
        <w:trPr>
          <w:trHeight w:val="510" w:hRule="atLeast"/>
        </w:trPr>
        <w:tc>
          <w:tcPr>
            <w:tcW w:w="2137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风控动作</w:t>
            </w:r>
          </w:p>
        </w:tc>
        <w:tc>
          <w:tcPr>
            <w:tcW w:w="10083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延续外汇衍生品交易业务</w:t>
            </w:r>
          </w:p>
        </w:tc>
        <w:tc>
          <w:tcPr>
            <w:tcW w:w="1414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/>
        </w:tc>
      </w:tr>
      <w:tr>
        <w:trPr>
          <w:trHeight w:val="630" w:hRule="atLeast"/>
        </w:trPr>
        <w:tc>
          <w:tcPr>
            <w:tcW w:w="2137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AI预期</w:t>
            </w:r>
          </w:p>
        </w:tc>
        <w:tc>
          <w:tcPr>
            <w:tcW w:w="10083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新控股方为AI大模型智能体平台，拟以AI/大数据赋能</w:t>
            </w:r>
          </w:p>
        </w:tc>
        <w:tc>
          <w:tcPr>
            <w:tcW w:w="1414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/>
        </w:tc>
      </w:tr>
      <w:tr>
        <w:trPr>
          <w:trHeight w:val="510" w:hRule="atLeast"/>
        </w:trPr>
        <w:tc>
          <w:tcPr>
            <w:tcW w:w="2137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股价表现</w:t>
            </w:r>
          </w:p>
        </w:tc>
        <w:tc>
          <w:tcPr>
            <w:tcW w:w="10083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11/12复牌涨停，11/13继续大涨</w:t>
            </w:r>
          </w:p>
        </w:tc>
        <w:tc>
          <w:tcPr>
            <w:tcW w:w="1414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/>
        </w:tc>
      </w:tr>
    </w:tbl>
    <w:p>
      <w:pPr>
        <w:spacing w:before="161" w:after="161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44"/>
        </w:rPr>
        <w:t>【可能延伸的思考维度】</w:t>
      </w:r>
    </w:p>
    <w:p>
      <w:pPr>
        <w:numPr>
          <w:ilvl w:val="0"/>
          <w:numId w:val="8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新控股股东入主后的“三年战略规划”与AI赋能落地的具体里程碑与KPI梳理（需公司后续披露与沟通）。</w:t>
      </w:r>
    </w:p>
    <w:p>
      <w:pPr>
        <w:numPr>
          <w:ilvl w:val="0"/>
          <w:numId w:val="8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剔除一次性补偿后的主营盈利质量跟踪：按产品/渠道拆分的毛利率、费用率与现金流改善路径。</w:t>
      </w:r>
    </w:p>
    <w:p>
      <w:pPr>
        <w:numPr>
          <w:ilvl w:val="0"/>
          <w:numId w:val="8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要约收购与治理结构调整后，董事会/管理层架构与激励机制如何优化，以匹配数字化转型目标。</w:t>
      </w:r>
    </w:p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