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8.3.9 (Apache licensed) using REFERENCE JAXB in Oracle Java 1.8.0_321 on Linux -->
    <w:p>
      <w:pPr>
        <w:spacing w:before="300" w:after="300"/>
        <w:ind w:left="120"/>
        <w:jc w:val="center"/>
      </w:pPr>
      <w:r>
        <w:rPr>
          <w:rFonts w:ascii="Times New Roman" w:hAnsi="Times New Roman"/>
          <w:b/>
          <w:i w:val="false"/>
          <w:color w:val="000000"/>
          <w:sz w:val="30"/>
        </w:rPr>
        <w:t xml:space="preserve"> 你是一位专业的股票研究员，同时兼具很强的... </w:t>
      </w:r>
    </w:p>
    <w:p>
      <w:pPr>
        <w:spacing w:before="180" w:after="18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33"/>
        </w:rPr>
        <w:t>结论</w:t>
      </w:r>
    </w:p>
    <w:p>
      <w:pPr>
        <w:numPr>
          <w:ilvl w:val="0"/>
          <w:numId w:val="1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胜利股份近期股价三连板，核心驱动力是“发行股份+支付现金”收购控股股东及关联方控制的四地城燃资产（珠海、南通、青海）并募资的重大资产重组预案正式披露与修订，明确不改变控制权、强化燃气主业区域版图与规模协同；叠加Q3稳健业绩与行业“天然气市场化深化/资产证券化”话题共振，资金预期显著提升，形成股价快速上行的催化。[该信息发布日期为20251111][该信息发布日期为20251113][该信息发布日期为20251111-13]</w:t>
      </w:r>
    </w:p>
    <w:p>
      <w:pPr>
        <w:numPr>
          <w:ilvl w:val="0"/>
          <w:numId w:val="1"/>
        </w:numPr>
        <w:spacing w:before="0" w:after="0"/>
        <w:jc w:val="left"/>
      </w:pPr>
    </w:p>
    <w:p>
      <w:pPr>
        <w:spacing w:before="180" w:after="18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33"/>
        </w:rPr>
        <w:t>1. 公司基本信息</w:t>
      </w:r>
    </w:p>
    <w:p>
      <w:pPr>
        <w:numPr>
          <w:ilvl w:val="0"/>
          <w:numId w:val="2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公司名称/证券信息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：山东胜利股份有限公司；简称“胜利股份”；代码000407；深交所主板；法定代表人：许铁良。[该信息发布日期为20250820]</w:t>
      </w:r>
    </w:p>
    <w:p>
      <w:pPr>
        <w:numPr>
          <w:ilvl w:val="0"/>
          <w:numId w:val="2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主营业务与定位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公司“主营天然气销售业务及天然气管道制造业务”，覆盖管道天然气输送与销售、LNG销售、以及各类聚乙烯（PE）管道和管件生产销售。[该信息发布日期为20251110]；公开资料亦称公司在全国范围建立了营销网络和服务体系。[该信息发布日期为20251110]</w:t>
      </w:r>
    </w:p>
    <w:p>
      <w:pPr>
        <w:numPr>
          <w:ilvl w:val="0"/>
          <w:numId w:val="2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控股/股东关系概况（对市场预期有影响）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公开信息提及公司为港股中油燃气（00603.HK）的控股子公司属性背景。[该信息发布日期为20251112]；公司及控股股东中油燃气投资集团有限公司、实际控制人许铁良先生信用状况良好（半年度报告披露）。[该信息发布日期为20250820]</w:t>
      </w:r>
    </w:p>
    <w:p>
      <w:pPr>
        <w:numPr>
          <w:ilvl w:val="0"/>
          <w:numId w:val="2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同类公司（行业对标）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：环保公用板块燃气公司样本：九丰能源、贵州燃气（三季报口径）。[该信息发布日期为20251104]</w:t>
      </w:r>
    </w:p>
    <w:p>
      <w:pPr>
        <w:numPr>
          <w:ilvl w:val="0"/>
          <w:numId w:val="2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创始人简介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：不清楚（公开片段未披露）。</w:t>
      </w:r>
    </w:p>
    <w:p>
      <w:pPr>
        <w:numPr>
          <w:ilvl w:val="0"/>
          <w:numId w:val="2"/>
        </w:numPr>
        <w:spacing w:before="0" w:after="0"/>
        <w:jc w:val="left"/>
      </w:pPr>
    </w:p>
    <w:p>
      <w:pPr>
        <w:spacing w:before="180" w:after="18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33"/>
        </w:rPr>
        <w:t>2. 近期已公开的业务进展（明确事件、方案与业绩）</w:t>
      </w:r>
    </w:p>
    <w:p>
      <w:pPr>
        <w:numPr>
          <w:ilvl w:val="0"/>
          <w:numId w:val="3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重大资产重组停牌与方案披露/复牌路径</w:t>
      </w:r>
    </w:p>
    <w:p>
      <w:pPr>
        <w:numPr>
          <w:ilvl w:val="0"/>
          <w:numId w:val="3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停牌：因筹划“发行股份+支付现金购买资产并募集配套资金暨关联交易”，公司股票自2025-10-28起停牌。[该信息发布日期为20251028]</w:t>
      </w:r>
    </w:p>
    <w:p>
      <w:pPr>
        <w:numPr>
          <w:ilvl w:val="0"/>
          <w:numId w:val="3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进展：10月28日后发布进展公告（停牌进展）。[该信息发布日期为20251104]</w:t>
      </w:r>
    </w:p>
    <w:p>
      <w:pPr>
        <w:numPr>
          <w:ilvl w:val="0"/>
          <w:numId w:val="3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预案与复牌：公司于11月11日披露预案与摘要，并发布复牌公告，同日就关联/重组性质、法律程序完备性、股票价格波动说明等多文件同步披露；强调本次交易预计构成重大资产重组但不构成重组上市。[该信息发布日期为20251111]</w:t>
      </w:r>
    </w:p>
    <w:p>
      <w:pPr>
        <w:numPr>
          <w:ilvl w:val="0"/>
          <w:numId w:val="3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修订稿：预案修订稿于11月12日发布。[该信息发布日期为20251112]</w:t>
      </w:r>
    </w:p>
    <w:p>
      <w:pPr>
        <w:numPr>
          <w:ilvl w:val="0"/>
          <w:numId w:val="3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异常波动：公司于11月13日发布“股票交易异常波动的公告”。[该信息发布日期为20251113]</w:t>
      </w:r>
    </w:p>
    <w:p>
      <w:pPr>
        <w:numPr>
          <w:ilvl w:val="0"/>
          <w:numId w:val="3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交易方案要点与对价机制（资产范围、持股比例变化、发行价格）</w:t>
      </w:r>
    </w:p>
    <w:p>
      <w:pPr>
        <w:numPr>
          <w:ilvl w:val="0"/>
          <w:numId w:val="3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拟收购资产：中油燃气（珠海横琴）有限公司100%股权、天达胜通新能源（珠海）有限公司100%股权、南通中油燃气有限责任公司51%股权、青海中油甘河工业园区燃气有限公司40%股权；交易完成后，公司将合计控制中油珠海100%、天达胜通100%、南通中油100%、甘河中油80%。该交易构成关联交易，预计构成重大资产重组，不导致实控人变更、不构成重组上市。[该信息发布日期为20251027][该信息发布日期为20251104][该信息发布日期为20251104][该信息发布日期为20251111]</w:t>
      </w:r>
    </w:p>
    <w:p>
      <w:pPr>
        <w:numPr>
          <w:ilvl w:val="0"/>
          <w:numId w:val="3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发行股份购买资产的发行价格：交易各方协商确定为每股人民币3.07元（作为对价中“发行股份购买资产”的发行价格）。[该信息发布日期为20251110-12]</w:t>
      </w:r>
    </w:p>
    <w:p>
      <w:pPr>
        <w:numPr>
          <w:ilvl w:val="0"/>
          <w:numId w:val="3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交易阶段属性与风险：尚处筹划阶段，需经公司董事会、股东会审议及监管审批，存在不确定性，提示投资者注意风险。[该信息发布日期为20251027]</w:t>
      </w:r>
    </w:p>
    <w:p>
      <w:pPr>
        <w:numPr>
          <w:ilvl w:val="0"/>
          <w:numId w:val="3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业绩与经营指标（市场关注“基本面承托”）</w:t>
      </w:r>
    </w:p>
    <w:p>
      <w:pPr>
        <w:numPr>
          <w:ilvl w:val="0"/>
          <w:numId w:val="3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三季报摘要：2025年前三季度营业收入30.42亿元（同比-5.07%），归母净利润1.20亿元（同比+9.43%），扣非归母净利润1.19亿元（同比+20.21%），经营性现金流净额-4479万元（同比优化）。[该信息发布日期为20251028][该信息发布日期为20251104]</w:t>
      </w:r>
    </w:p>
    <w:p>
      <w:pPr>
        <w:numPr>
          <w:ilvl w:val="0"/>
          <w:numId w:val="3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细项变动：财务费用44,651,322.43元（同比-33.06%）；投资收益29,696,483.82元（同比+71.71%）；经营活动现金流净额同比改善（-4479万 vs -6520万）。[该信息发布日期为20251028]</w:t>
      </w:r>
    </w:p>
    <w:p>
      <w:pPr>
        <w:numPr>
          <w:ilvl w:val="0"/>
          <w:numId w:val="3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期末货币资金：474,129,136.67元（期初813,748,845.46元）。[该信息发布日期为20251028]</w:t>
      </w:r>
    </w:p>
    <w:p>
      <w:pPr>
        <w:numPr>
          <w:ilvl w:val="0"/>
          <w:numId w:val="3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单季归母净利润Q3：31,635,090元。[该信息发布日期为20250930]</w:t>
      </w:r>
    </w:p>
    <w:p>
      <w:pPr>
        <w:numPr>
          <w:ilvl w:val="0"/>
          <w:numId w:val="3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股价与涨幅数据（市场表现锚点）</w:t>
      </w:r>
    </w:p>
    <w:p>
      <w:pPr>
        <w:numPr>
          <w:ilvl w:val="0"/>
          <w:numId w:val="3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收盘价：11/11为4.16元、11/12为4.58元、11/13为5.04元。[该信息发布日期为20251111-13]</w:t>
      </w:r>
    </w:p>
    <w:p>
      <w:pPr>
        <w:numPr>
          <w:ilvl w:val="0"/>
          <w:numId w:val="3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日涨跌幅：11/11、11/12、11/13分别+10.05%、+10.10%、+10.04%（接近或触及涨停）。[该信息发布日期为20251111-13]</w:t>
      </w:r>
    </w:p>
    <w:p>
      <w:pPr>
        <w:numPr>
          <w:ilvl w:val="0"/>
          <w:numId w:val="3"/>
        </w:numPr>
        <w:spacing w:before="0" w:after="0"/>
        <w:jc w:val="left"/>
      </w:pPr>
    </w:p>
    <w:p>
      <w:pPr>
        <w:spacing w:before="180" w:after="18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33"/>
        </w:rPr>
        <w:t>3. 正在筹备或推进、且有望成为新增长点的业务</w:t>
      </w:r>
    </w:p>
    <w:p>
      <w:pPr>
        <w:numPr>
          <w:ilvl w:val="0"/>
          <w:numId w:val="4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城燃资产整合（全国版图拓展）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通过本次关联交易收购珠海、南通、青海四地城燃资产，显著优化区域布局，形成对粤港澳大湾区（珠海）、长三角（南通）、西部（青海）多区域联动，有利于集团盘活并整合体系内相关资产、扩大规模与协同能力。[该信息发布日期为20251027][该信息发布日期为20251104][该信息发布日期为20251112]</w:t>
      </w:r>
    </w:p>
    <w:p>
      <w:pPr>
        <w:numPr>
          <w:ilvl w:val="0"/>
          <w:numId w:val="4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内部经营与增值业务专题推进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：公司召开三季度经营分析会暨市场与增值业务专题研讨会，部署四季度工作，强调以安全为基础、以创新为驱动、提升发展质量，完成年度目标。[该信息发布日期为20251021]</w:t>
      </w:r>
    </w:p>
    <w:p>
      <w:pPr>
        <w:numPr>
          <w:ilvl w:val="0"/>
          <w:numId w:val="4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区域市场拓展与协同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：与中石化广西天然气销售中心开展调研交流，围绕气源保障、资源配置与协同联动，明确后续合作重点与方向。[该信息发布日期为20250930]</w:t>
      </w:r>
    </w:p>
    <w:p>
      <w:pPr>
        <w:numPr>
          <w:ilvl w:val="0"/>
          <w:numId w:val="4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全员市场开发与“百日攻坚”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：淄博绿川组织全员市场调研，覆盖经营区域228个村居，聚焦潜在工商业与居民用户（含使用LNG、生物质单位），推进用气调研与服务工作，助力年度目标实现。[该信息发布日期为20251017]</w:t>
      </w:r>
    </w:p>
    <w:p>
      <w:pPr>
        <w:numPr>
          <w:ilvl w:val="0"/>
          <w:numId w:val="4"/>
        </w:numPr>
        <w:spacing w:before="0" w:after="0"/>
        <w:jc w:val="left"/>
      </w:pPr>
    </w:p>
    <w:p>
      <w:pPr>
        <w:spacing w:before="180" w:after="18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33"/>
        </w:rPr>
        <w:t>4. 是否有新的业务订单（已公开）</w:t>
      </w:r>
    </w:p>
    <w:p>
      <w:pPr>
        <w:numPr>
          <w:ilvl w:val="0"/>
          <w:numId w:val="5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目前公开片段未披露明确“新增订单”金额或合同细项，不清楚。</w:t>
      </w:r>
    </w:p>
    <w:p>
      <w:pPr>
        <w:numPr>
          <w:ilvl w:val="0"/>
          <w:numId w:val="5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相关业务活动提及：子公司华胜能源为LNG动力船加注供液案例曾被行业文章列示，但未披露订单金额与持续性，不清楚其对收入的即时贡献度。[该信息发布日期为20251028]</w:t>
      </w:r>
    </w:p>
    <w:p>
      <w:pPr>
        <w:numPr>
          <w:ilvl w:val="0"/>
          <w:numId w:val="5"/>
        </w:numPr>
        <w:spacing w:before="0" w:after="0"/>
        <w:jc w:val="left"/>
      </w:pPr>
    </w:p>
    <w:p>
      <w:pPr>
        <w:spacing w:before="180" w:after="18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33"/>
        </w:rPr>
        <w:t>5. 网络与媒体信息中的“新业务潜力”线索</w:t>
      </w:r>
    </w:p>
    <w:p>
      <w:pPr>
        <w:numPr>
          <w:ilvl w:val="0"/>
          <w:numId w:val="6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资产整合带来的区域协同与规模化经营预期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多家媒体评论本次收购将实现多区域燃气资产联动格局，业务从原有优势区域向经济活跃的长三角（南通）、粤港澳大湾区（珠海）和西部（青海）扩张，进一步扩大业务规模、拓展区域布局、提升市场竞争力（不改变控制权）。[该信息发布日期为20251112]</w:t>
      </w:r>
    </w:p>
    <w:p>
      <w:pPr>
        <w:numPr>
          <w:ilvl w:val="0"/>
          <w:numId w:val="6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行业“天然气市场化深化/资产证券化”大势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媒体与行业人士指出，在中游管网公平开放与下游市场化背景下，燃气集团加速推进优质资产证券化、借助资本市场聚集资源与提升效率，以抢占综合能源服务竞争先机；到2030年天然气占一次能源消费比重力争至约15%，行业增长空间仍广。[该信息发布日期为20251112-13]</w:t>
      </w:r>
    </w:p>
    <w:p>
      <w:pPr>
        <w:numPr>
          <w:ilvl w:val="0"/>
          <w:numId w:val="6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交易价格机制的确定性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：发行股份购买资产的发行价格明确为3.07元/股，有助于市场对对价与稀释影响进行预期管理。[该信息发布日期为20251110-12]</w:t>
      </w:r>
    </w:p>
    <w:p>
      <w:pPr>
        <w:numPr>
          <w:ilvl w:val="0"/>
          <w:numId w:val="6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公司治理与对外形象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：董事长许铁良受邀出席“第四届儒商大会”，与地方政府探讨合作与投资布局，显示对外交流与区域资源对接积极。[该信息发布日期为20251101]</w:t>
      </w:r>
    </w:p>
    <w:p>
      <w:pPr>
        <w:numPr>
          <w:ilvl w:val="0"/>
          <w:numId w:val="6"/>
        </w:numPr>
        <w:spacing w:before="0" w:after="0"/>
        <w:jc w:val="left"/>
      </w:pPr>
    </w:p>
    <w:p>
      <w:pPr>
        <w:spacing w:before="180" w:after="18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33"/>
        </w:rPr>
        <w:t>6. 为什么近期涨幅明显？与市场热点的比对</w:t>
      </w:r>
    </w:p>
    <w:p>
      <w:pPr>
        <w:numPr>
          <w:ilvl w:val="0"/>
          <w:numId w:val="7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直接催化：重大资产重组预案落地与修订</w:t>
      </w:r>
    </w:p>
    <w:p>
      <w:pPr>
        <w:numPr>
          <w:ilvl w:val="0"/>
          <w:numId w:val="7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市场对“城燃资产证券化+区域扩张+主业强化”的预期提升，明确标的资产与持股比例、发行股份价格、控制权不变与不构成重组上市的合规定性，显著降低不确定性，提升对公司中长期增长的可见度。[该信息发布日期为20251111-12]</w:t>
      </w:r>
    </w:p>
    <w:p>
      <w:pPr>
        <w:numPr>
          <w:ilvl w:val="0"/>
          <w:numId w:val="7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基本面承托：Q3稳健与费用率优化</w:t>
      </w:r>
    </w:p>
    <w:p>
      <w:pPr>
        <w:numPr>
          <w:ilvl w:val="0"/>
          <w:numId w:val="7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前三季度归母净利润同比+9.43%，财务费用同比-33.06%，投资收益同比+71.71%，经营性现金流同比改善，体现稳健经营与成本/费用优化，提供业绩支撑。[该信息发布日期为20251104][该信息发布日期为20251028]</w:t>
      </w:r>
    </w:p>
    <w:p>
      <w:pPr>
        <w:numPr>
          <w:ilvl w:val="0"/>
          <w:numId w:val="7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行业主线共振：市场化深化、综合能源服务与资产整合</w:t>
      </w:r>
    </w:p>
    <w:p>
      <w:pPr>
        <w:numPr>
          <w:ilvl w:val="0"/>
          <w:numId w:val="7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“天然气全国一张网”与资产证券化加速的行业主线，叠加公司通过并购扩张城燃版图，符合当前资本市场偏好（资源整合、规模协同、现金流与稳定收益属性）。[该信息发布日期为20251112-13]</w:t>
      </w:r>
    </w:p>
    <w:p>
      <w:pPr>
        <w:numPr>
          <w:ilvl w:val="0"/>
          <w:numId w:val="7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市场行为验证：三日连续高幅上涨</w:t>
      </w:r>
    </w:p>
    <w:p>
      <w:pPr>
        <w:numPr>
          <w:ilvl w:val="0"/>
          <w:numId w:val="7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11/11预案披露与复牌后，股价连续三日接近/触及涨停（约+10%），从4.16元涨至5.04元，充分反映交易方案对市场预期的提振与资金的快速反馈。[该信息发布日期为20251111-13]</w:t>
      </w:r>
    </w:p>
    <w:p>
      <w:pPr>
        <w:numPr>
          <w:ilvl w:val="0"/>
          <w:numId w:val="7"/>
        </w:numPr>
        <w:spacing w:before="0" w:after="0"/>
        <w:jc w:val="left"/>
      </w:pPr>
    </w:p>
    <w:p>
      <w:pPr>
        <w:spacing w:before="180" w:after="18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33"/>
        </w:rPr>
        <w:t>7. 关键事件时间轴与影响（摘要表）</w:t>
      </w:r>
    </w:p>
    <w:tbl>
      <w:tblPr>
        <w:tblW w:w="0" w:type="auto"/>
        <w:tblCellSpacing w:w="0" w:type="auto"/>
        <w:tblInd w:w="115" w:type="dxa"/>
        <w:tblBorders>
          <w:top w:val="single" w:color="aaaaaa" w:sz="8"/>
          <w:left w:val="single" w:color="aaaaaa" w:sz="8"/>
          <w:bottom w:val="single" w:color="aaaaaa" w:sz="8"/>
          <w:right w:val="single" w:color="aaaaaa" w:sz="8"/>
          <w:insideH w:val="none"/>
          <w:insideV w:val="none"/>
        </w:tblBorders>
      </w:tblPr>
      <w:tblGrid>
        <w:gridCol w:w="2615"/>
        <w:gridCol w:w="7537"/>
        <w:gridCol w:w="2735"/>
        <w:gridCol w:w="747"/>
      </w:tblGrid>
      <w:tr>
        <w:trPr>
          <w:trHeight w:val="525" w:hRule="atLeast"/>
        </w:trPr>
        <w:tc>
          <w:tcPr>
            <w:tcW w:w="2615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时间</w:t>
            </w:r>
          </w:p>
        </w:tc>
        <w:tc>
          <w:tcPr>
            <w:tcW w:w="7537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事件/内容</w:t>
            </w:r>
          </w:p>
        </w:tc>
        <w:tc>
          <w:tcPr>
            <w:tcW w:w="2735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影响</w:t>
            </w:r>
          </w:p>
        </w:tc>
        <w:tc>
          <w:tcPr>
            <w:tcW w:w="747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来源</w:t>
            </w:r>
          </w:p>
        </w:tc>
      </w:tr>
      <w:tr>
        <w:trPr>
          <w:trHeight w:val="510" w:hRule="atLeast"/>
        </w:trPr>
        <w:tc>
          <w:tcPr>
            <w:tcW w:w="2615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2025-10-28</w:t>
            </w:r>
          </w:p>
        </w:tc>
        <w:tc>
          <w:tcPr>
            <w:tcW w:w="7537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停牌公告，因筹划“发行股份+支付现金购买资产并募资暨关联交易”</w:t>
            </w:r>
          </w:p>
        </w:tc>
        <w:tc>
          <w:tcPr>
            <w:tcW w:w="2735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强催化预期启动</w:t>
            </w:r>
          </w:p>
        </w:tc>
        <w:tc>
          <w:tcPr>
            <w:tcW w:w="747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/>
        </w:tc>
      </w:tr>
      <w:tr>
        <w:trPr>
          <w:trHeight w:val="510" w:hRule="atLeast"/>
        </w:trPr>
        <w:tc>
          <w:tcPr>
            <w:tcW w:w="2615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2025-11-04</w:t>
            </w:r>
          </w:p>
        </w:tc>
        <w:tc>
          <w:tcPr>
            <w:tcW w:w="7537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停牌进展公告</w:t>
            </w:r>
          </w:p>
        </w:tc>
        <w:tc>
          <w:tcPr>
            <w:tcW w:w="2735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交易推进信号</w:t>
            </w:r>
          </w:p>
        </w:tc>
        <w:tc>
          <w:tcPr>
            <w:tcW w:w="747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/>
        </w:tc>
      </w:tr>
      <w:tr>
        <w:trPr>
          <w:trHeight w:val="510" w:hRule="atLeast"/>
        </w:trPr>
        <w:tc>
          <w:tcPr>
            <w:tcW w:w="2615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2025-11-11</w:t>
            </w:r>
          </w:p>
        </w:tc>
        <w:tc>
          <w:tcPr>
            <w:tcW w:w="7537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预案与摘要披露、复牌公告、多项合规说明（关联/重组性质、程序完备性、价格波动等）</w:t>
            </w:r>
          </w:p>
        </w:tc>
        <w:tc>
          <w:tcPr>
            <w:tcW w:w="2735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降低不确定性、明确合规属性</w:t>
            </w:r>
          </w:p>
        </w:tc>
        <w:tc>
          <w:tcPr>
            <w:tcW w:w="747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/>
        </w:tc>
      </w:tr>
      <w:tr>
        <w:trPr>
          <w:trHeight w:val="510" w:hRule="atLeast"/>
        </w:trPr>
        <w:tc>
          <w:tcPr>
            <w:tcW w:w="2615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2025-11-12</w:t>
            </w:r>
          </w:p>
        </w:tc>
        <w:tc>
          <w:tcPr>
            <w:tcW w:w="7537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预案修订稿发布</w:t>
            </w:r>
          </w:p>
        </w:tc>
        <w:tc>
          <w:tcPr>
            <w:tcW w:w="2735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方案细化与持续推进</w:t>
            </w:r>
          </w:p>
        </w:tc>
        <w:tc>
          <w:tcPr>
            <w:tcW w:w="747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/>
        </w:tc>
      </w:tr>
      <w:tr>
        <w:trPr>
          <w:trHeight w:val="510" w:hRule="atLeast"/>
        </w:trPr>
        <w:tc>
          <w:tcPr>
            <w:tcW w:w="2615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2025-11-11～13</w:t>
            </w:r>
          </w:p>
        </w:tc>
        <w:tc>
          <w:tcPr>
            <w:tcW w:w="7537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连续约+10%涨幅、收盘价由4.16元至5.04元</w:t>
            </w:r>
          </w:p>
        </w:tc>
        <w:tc>
          <w:tcPr>
            <w:tcW w:w="2735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资金迅速兑现预期</w:t>
            </w:r>
          </w:p>
        </w:tc>
        <w:tc>
          <w:tcPr>
            <w:tcW w:w="747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/>
        </w:tc>
      </w:tr>
      <w:tr>
        <w:trPr>
          <w:trHeight w:val="510" w:hRule="atLeast"/>
        </w:trPr>
        <w:tc>
          <w:tcPr>
            <w:tcW w:w="2615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2025-11-13</w:t>
            </w:r>
          </w:p>
        </w:tc>
        <w:tc>
          <w:tcPr>
            <w:tcW w:w="7537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异常波动公告</w:t>
            </w:r>
          </w:p>
        </w:tc>
        <w:tc>
          <w:tcPr>
            <w:tcW w:w="2735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风险提示与合规沟通</w:t>
            </w:r>
          </w:p>
        </w:tc>
        <w:tc>
          <w:tcPr>
            <w:tcW w:w="747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/>
        </w:tc>
      </w:tr>
    </w:tbl>
    <w:p>
      <w:pPr>
        <w:spacing w:before="269" w:after="269"/>
        <w:ind w:left="12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以上每一行之“时间”为来源发布时间或事件披露日，以来源披露为准）</w:t>
      </w:r>
    </w:p>
    <w:p>
      <w:pPr>
        <w:numPr>
          <w:ilvl w:val="0"/>
          <w:numId w:val="8"/>
        </w:numPr>
        <w:spacing w:before="0" w:after="0"/>
        <w:jc w:val="left"/>
      </w:pPr>
    </w:p>
    <w:p>
      <w:pPr>
        <w:spacing w:before="180" w:after="18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33"/>
        </w:rPr>
        <w:t>8. 风险与差异点（审慎提示）</w:t>
      </w:r>
    </w:p>
    <w:p>
      <w:pPr>
        <w:numPr>
          <w:ilvl w:val="0"/>
          <w:numId w:val="9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交易尚处筹划阶段，审批与实施存在不确定性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：公司明确提示需董事会/股东会审议及监管审批，存在不确定性，需注意风险。[该信息发布日期为20251027]</w:t>
      </w:r>
    </w:p>
    <w:p>
      <w:pPr>
        <w:numPr>
          <w:ilvl w:val="0"/>
          <w:numId w:val="9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控制权不变但属关联交易与重大资产重组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：交易构成关联交易与重大资产重组，不构成重组上市，市场需关注交易条款谈判与审核进度。[该信息发布日期为20251111]</w:t>
      </w:r>
    </w:p>
    <w:p>
      <w:pPr>
        <w:numPr>
          <w:ilvl w:val="0"/>
          <w:numId w:val="9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业绩持续性与现金流结构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：期末货币资金较期初下降、经营现金流虽优化但仍为负值，需关注后续并购整合后现金流改善路径与融资安排质量。[该信息发布日期为20251028]</w:t>
      </w:r>
    </w:p>
    <w:p>
      <w:pPr>
        <w:numPr>
          <w:ilvl w:val="0"/>
          <w:numId w:val="9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公开渠道未披露新增订单的具体金额与交付周期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：对“短期业绩拉动”的即期贡献不清楚，市场驱动更偏向“资产整合预期与行业主线”。（不清楚）</w:t>
      </w:r>
    </w:p>
    <w:p>
      <w:pPr>
        <w:numPr>
          <w:ilvl w:val="0"/>
          <w:numId w:val="9"/>
        </w:numPr>
        <w:spacing w:before="0" w:after="0"/>
        <w:jc w:val="left"/>
      </w:pPr>
    </w:p>
    <w:p>
      <w:pPr>
        <w:spacing w:before="180" w:after="18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33"/>
        </w:rPr>
        <w:t>9. 投资要点归纳</w:t>
      </w:r>
    </w:p>
    <w:p>
      <w:pPr>
        <w:numPr>
          <w:ilvl w:val="0"/>
          <w:numId w:val="10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主线匹配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：资产证券化+城燃版图扩张+稳健现金流属性，契合当前公用事业/清洁能源板块的资金偏好。[该信息发布日期为20251112-13]</w:t>
      </w:r>
    </w:p>
    <w:p>
      <w:pPr>
        <w:numPr>
          <w:ilvl w:val="0"/>
          <w:numId w:val="10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公司维度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：预案明确与修订落地，控制权不变、对价机制清晰（3.07元/股），四地燃气资产注入带来规模与区域协同，估值与预期改善成为近期股价核心催化。[该信息发布日期为20251110-12][该信息发布日期为20251111-12]</w:t>
      </w:r>
    </w:p>
    <w:p>
      <w:pPr>
        <w:numPr>
          <w:ilvl w:val="0"/>
          <w:numId w:val="10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后续关注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：监管审核进度、标的资产质量与盈利能力信息披露、并购整合后的现金流与ROE变化、以及增值业务推进与区域合作深化的落地节奏。[该信息发布日期为20251021][该信息发布日期为20250930]</w:t>
      </w:r>
    </w:p>
    <w:p>
      <w:pPr>
        <w:numPr>
          <w:ilvl w:val="0"/>
          <w:numId w:val="10"/>
        </w:numPr>
        <w:spacing w:before="0" w:after="0"/>
        <w:jc w:val="left"/>
      </w:pPr>
    </w:p>
    <w:p>
      <w:pPr>
        <w:spacing w:before="180" w:after="18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33"/>
        </w:rPr>
        <w:t>【可能延伸的思考维度】</w:t>
      </w:r>
    </w:p>
    <w:p>
      <w:pPr>
        <w:numPr>
          <w:ilvl w:val="0"/>
          <w:numId w:val="11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标的四地燃气资产的历史经营数据与盈利质量梳理（如用户结构、售气量、毛利率、现金流），请汇总最新披露口径。</w:t>
      </w:r>
    </w:p>
    <w:p>
      <w:pPr>
        <w:numPr>
          <w:ilvl w:val="0"/>
          <w:numId w:val="11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并购完成后的商誉、摊销与财务费用变化敏感性测算，评估对2026-2027年EPS与ROE的影响区间。</w:t>
      </w:r>
    </w:p>
    <w:p>
      <w:pPr>
        <w:numPr>
          <w:ilvl w:val="0"/>
          <w:numId w:val="11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城燃资产并表后区域协同与增值业务（如LNG加注、智能计量、综合能源服务）落地路线图与里程碑梳理。</w:t>
      </w:r>
    </w:p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9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