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结论要点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近期ST东时股价上行的核心催化在于“重整+控制权变动预期”的事件驱动：控股股东部分股份司法拍卖完成过户并触发权益变动披露（11/8），随后的简式/详式权益变动报告书与股东大会事项集中落地，显著强化了市场对引入重整投资人、治理改善及潜在“国资参与重整”的预期；而基本面仍处低位（营收下滑、持续亏损、存量诉讼与被立案调查），因此本轮上涨更可能由事件交易主导而非业绩反转驱动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从股价表现看，10/20—11/13区间收盘价由3.54元升至4.55元，阶段涨幅明显；11/13公司并发布交易异常波动公告，侧证事件性资金博弈升温。</w:t>
      </w:r>
    </w:p>
    <w:p>
      <w:pPr>
        <w:numPr>
          <w:ilvl w:val="0"/>
          <w:numId w:val="1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公司基本信息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公司名称/简称/英文名/法定代表人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：东方时尚驾驶学校股份有限公司；东方时尚；Eastern Pioneer Driving School Co.,Ltd.；DFSS；法定代表人孙翔。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所属行业与主营业务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：公司主营为</w:t>
      </w:r>
      <w:r>
        <w:rPr>
          <w:rFonts w:ascii="Times New Roman" w:hAnsi="Times New Roman"/>
          <w:b/>
          <w:i w:val="false"/>
          <w:color w:val="000000"/>
          <w:sz w:val="22"/>
        </w:rPr>
        <w:t>机动车驾驶人培训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，具备全准驾车型培训资质（大型客车、重型牵引挂车、城市公交车、中型客车、大型货车、小型汽车等），培训内容涵盖交通法规、场地驾驶、道路驾驶和安全文明驾驶常识。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通航业务布局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：运营河南周口西华机场、北京平谷石佛寺机场、河南商丘民权机场三座通航机场，形成“两校三场”的运行规模。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其他延伸业务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：围绕汽车消费全周期，涉足整车销售、汽车租赁、维修、美容、俱乐部服务、餐饮休闲等。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股东户数（期末）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：普通股股东总数12,383户（半年度报告期末）。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同类公司/创始人简介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：公开资料未检索到同类A股驾培龙头的权威并列清单及创始人权威简介，暂不清楚。</w:t>
      </w:r>
    </w:p>
    <w:p>
      <w:pPr>
        <w:numPr>
          <w:ilvl w:val="0"/>
          <w:numId w:val="2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近期已公开的最新进展（业务/治理/风险）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三季报业绩承压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2025年前三季度营业总收入4.968亿元，同比-24.43%；归母净利润-1.029亿元；公司合并层面净利润-1.309亿元。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成本费用端：前三季度营业总成本6.381亿元；信用减值项目列示为4,422.995万元（科目名为“信用减值损失”，数值为正）。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负债/应收与在建项目概况（节选）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其他应收款按账龄口径合计期末账面余额22.914亿元、计提坏账5.581亿元；另一个口径小计5.649亿元、计提1.576亿元（合并/分子公司口径差异导致数值不同）。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在建工程：重庆子公司工程预算5.49亿元，累计投入约4.85亿元；晋中子公司工程预算4亿元，累计投入约0.83亿元。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诉讼与监管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公司持续披露累计诉讼/仲裁进展，个别案件涉案金额区间在百万元至千万元级别（示例：借款/承揽/施工合同纠纷等），部分处于执行或审理阶段。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2025年5月30日公司收到证监会《立案告知书》因涉嫌信息披露违法违规被立案，当前尚未收到结论性意见或决定。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治理与信息披露制度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发布《内部审计制度》以完善内控与合规管理（10/29）。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关于股票被实施“其他风险警示”相关事项进展公告（10/29）。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股权司法拍卖与权益变动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（近期股价核心催化）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控股股东所持公司部分股份被司法拍卖的提示/进展公告（10/14、10/28）；11/08公告披露“控股股东所持公司部分股份被司法拍卖完成过户暨权益变动”。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11/08披露两份简式权益变动报告书（东方时尚投资有限公司；安徽荣智管理咨询合伙企业），11/11披露详式权益变动报告书，显示股权结构发生重要变动。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10/23披露控股股东部分股份被轮候冻结。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股东大会事项与市场波动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10/29发布关于召开2025年第四次临时股东会的通知；11/06披露第四次临时股东会会议资料；11/14披露该次股东会决议公告。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11/13披露股票交易异常波动公告，提示二级市场波动风险。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重整进程节点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2025年7月10日，北京一中院决定对公司进行预重整（载于半年报“重大事项”描述）。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8/19公司公告与重整投资人签署重整投资协议（披露多项重整投资相关信息），并在表格中披露“北京大兴投资集团有限公司的实际控制人为北京市大兴区国资委”等背景信息（反映重整相关方的国资背景要素）。</w:t>
      </w:r>
    </w:p>
    <w:p>
      <w:pPr>
        <w:numPr>
          <w:ilvl w:val="0"/>
          <w:numId w:val="3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正在筹备或新近推进、或可能形成增量的方向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北京区域市占率提升与网络下沉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：公司提出通过在北京各城区设立VR门店、在离主校区较远区域设立分训场，提升培训便利性与触达范围；同时加快京外已开业子公司运营与未运营重点项目建设。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通航/航空驾驶培训的潜在空间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强调通航与无人机飞行时长数据，指向航空驾驶培训产业“随着政策放开存在空间”的行业判断（公司层面“运营三座通航机场”有资源基础）。上述行业空间判断为公司报告口径，不等同于公司订单或收益确认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司法重整与引入投资人（资本层面）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：预重整落地与重整投资协议签署，有望为后续债务梳理、资产盘活、组织治理优化提供路径，属于“基本面修复的前置条件”，但尚需看重整方案实施与经营落地效果。</w:t>
      </w:r>
    </w:p>
    <w:p>
      <w:pPr>
        <w:numPr>
          <w:ilvl w:val="0"/>
          <w:numId w:val="4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新业务订单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公开渠道未检索到“新增具体业务订单及金额/客户”的权威披露，暂不清楚。</w:t>
      </w:r>
    </w:p>
    <w:p>
      <w:pPr>
        <w:numPr>
          <w:ilvl w:val="0"/>
          <w:numId w:val="5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外部网络与市场舆情线索（与股价交易相关）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控制权或变更预期的市场讨论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：有信息源提到“ST东时1.7亿股权竞拍成功，控制权或变更”，反映二级市场围绕司法拍卖与控制权变动的讨论热度上升（9/16）。该类舆情与公司随后披露的司法拍卖完成过户、权益变动公告时间上前后呼应。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卖方周观点的摘要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：有机构周报型材料对公司三季报同比下滑与亏损进行了简述，侧重基本面口径的复盘与提示。</w:t>
      </w:r>
    </w:p>
    <w:p>
      <w:pPr>
        <w:numPr>
          <w:ilvl w:val="0"/>
          <w:numId w:val="6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事件脉络与股价上涨的可能关联（对照市场热点）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股价与时间线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收盘价由3.54元（10/20）上行至4.55元（11/13），阶段性涨幅明显；期间多项“股权/治理/会议”事件密集披露。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关键节点：10/29（股东会通知/内部审计制度/风险警示进展）、11/06（股东会资料）、11/08（司法拍卖完成过户暨权益变动+两份简式权益变动报告）、11/11（详式权益变动报告）、11/13（交易异常波动公告）、11/14（股东会决议）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与市场热点的映射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热点一：“重整+引战（国资背景）”预期。公司处于预重整阶段且已签署重整投资协议，公告表格信息显示重整相关方存在北京市大兴区国资委背景要素；叠加控股股东股份司法拍卖过户与权益变动披露，市场对“控制权优化+治理改善+潜在纾困”的预期被强化，契合A股“重整概念/国资入主预期”的交易偏好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热点二：治理与合规“框架修复”。内部审计制度发布、密集股东大会安排与决议，有助于增强“公司治理改善”的市场信号，尽管短期业绩并未同步改善。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热点三：基本面反转尚未证明。三季报显示收入下滑与亏损扩大，存量诉讼与被立案调查仍是悬而未决事项，更多属于“估值与预期交易”而非“基本面驱动”。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与现有/潜在业务的关系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与主营驾培/通航业务的短期业绩拉动未形成明确对应证据；公司提出的VR门店、分训场网络等更偏中长期运营优化。近期股价上行与此类经营举措的直接关联度有限，更多系资本结构与控制权变量带来的估值重定价预期。</w:t>
      </w:r>
    </w:p>
    <w:p>
      <w:pPr>
        <w:numPr>
          <w:ilvl w:val="0"/>
          <w:numId w:val="7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关键事件时间轴（摘要）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1960"/>
        <w:gridCol w:w="7376"/>
        <w:gridCol w:w="4298"/>
      </w:tblGrid>
      <w:tr>
        <w:trPr>
          <w:trHeight w:val="525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日期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事件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可能影响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2025-07-10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北京一中院决定公司进入预重整（载于半年报）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进入司法重整路径，市场形成“重整预期”框架。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2025-08-19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与重整投资人签署重整投资协议；公告表格披露重整相关方存在北京市大兴区国资委背景要素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强化“引战/国资参与重整”想象空间。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2025-10-29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内部审计制度发布；召开第四次临时股东会通知；风险警示进展披露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公司治理与制度完善的信号释放。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2025-11-06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第四次临时股东会会议资料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议案进入决策流程前的材料披露。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2025-11-08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控股股东部分股份司法拍卖完成过户暨权益变动提示性公告；两份简式权益变动报告书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控制权变动预期落地化，事件交易升温的关键催化。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2025-11-11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详式权益变动报告书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进一步明确权益变动细节，强化预期。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2025-11-13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股票交易异常波动公告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二级市场交易活跃及波动风险提示。</w:t>
            </w:r>
          </w:p>
        </w:tc>
      </w:tr>
      <w:tr>
        <w:trPr>
          <w:trHeight w:val="510" w:hRule="atLeast"/>
        </w:trPr>
        <w:tc>
          <w:tcPr>
            <w:tcW w:w="196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2025-11-14</w:t>
            </w:r>
          </w:p>
        </w:tc>
        <w:tc>
          <w:tcPr>
            <w:tcW w:w="7376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第四次临时股东会决议公告</w:t>
            </w:r>
          </w:p>
        </w:tc>
        <w:tc>
          <w:tcPr>
            <w:tcW w:w="429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决策落地，治理框架继续推进。</w:t>
            </w:r>
          </w:p>
        </w:tc>
      </w:tr>
    </w:tbl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：股价区间表现（收盘）：3.54元（10/20）→4.55元（11/13）。</w:t>
      </w:r>
    </w:p>
    <w:p>
      <w:pPr>
        <w:numPr>
          <w:ilvl w:val="0"/>
          <w:numId w:val="8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8. 风险与分歧（批判性视角）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业绩与现金流压力仍在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：收入同比下滑、持续亏损且其他应收款规模较大，短期经营质量与回款能力仍需观察。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诉讼与合规不确定性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：存量诉讼进展及被立案调查尚未出结论，可能对后续重整节奏与经营恢复造成不确定性。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重整落地与控制权实质变化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：权益变动披露提升预期，但重整方案审批与执行、经营端协同落地仍需时间验证，业绩改善节奏可能慢于市场交易预期。</w:t>
      </w:r>
    </w:p>
    <w:p>
      <w:pPr>
        <w:numPr>
          <w:ilvl w:val="0"/>
          <w:numId w:val="9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9. 小结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近期股价上涨更可能与“司法拍卖完成过户+权益变动+重整投资协议背景要素（国资）+治理文件/股东会推进”形成的系统性事件组合有关；而经营层面仍在“修复前夜”。建议持续跟踪：重整方案与新股东治理安排、北京区域VR门店/分训场落地节奏、通航业务经营数据、应收与诉讼风险化解进度。</w:t>
      </w:r>
    </w:p>
    <w:p>
      <w:pPr>
        <w:numPr>
          <w:ilvl w:val="0"/>
          <w:numId w:val="10"/>
        </w:numPr>
        <w:spacing w:before="0" w:after="0"/>
        <w:jc w:val="left"/>
      </w:pP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【可能延伸的思考维度】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重整方案的核心条款（债务重组比例、资产处置/注入、治理架构调整）可能带来何种业绩与现金流弹性，请在披露后做量化情景测算。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北京区域VR门店/分训场的投资回报模型与单店盈亏平衡点测算框架建立。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通航培训业务的运营指标体系（小时数、签约航司、ARPU）与与驾培主业的协同度评估路径。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