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xvml="urn:schemas-microsoft-com:office:excel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!-- Created by docx4j 8.3.9 (Apache licensed) using REFERENCE JAXB in Oracle Java 1.8.0_321 on Linux -->
    <w:p>
      <w:pPr>
        <w:spacing w:before="300" w:after="300"/>
        <w:ind w:left="120"/>
        <w:jc w:val="center"/>
      </w:pPr>
      <w:r>
        <w:rPr>
          <w:rFonts w:ascii="Times New Roman" w:hAnsi="Times New Roman"/>
          <w:b/>
          <w:i w:val="false"/>
          <w:color w:val="000000"/>
          <w:sz w:val="30"/>
        </w:rPr>
        <w:t xml:space="preserve"> 你是一位专业的股票研究员，同时兼具很强的... </w:t>
      </w:r>
    </w:p>
    <w:p>
      <w:pPr>
        <w:spacing w:before="180" w:after="180"/>
        <w:ind w:left="120"/>
        <w:jc w:val="left"/>
      </w:pPr>
      <w:r>
        <w:rPr>
          <w:rFonts w:ascii="Times New Roman" w:hAnsi="Times New Roman"/>
          <w:b/>
          <w:i w:val="false"/>
          <w:color w:val="000000"/>
          <w:sz w:val="33"/>
        </w:rPr>
        <w:t>结论</w:t>
      </w:r>
    </w:p>
    <w:p>
      <w:pPr>
        <w:numPr>
          <w:ilvl w:val="0"/>
          <w:numId w:val="1"/>
        </w:numPr>
        <w:spacing w:before="0" w:after="0"/>
        <w:jc w:val="left"/>
      </w:pPr>
      <w:r>
        <w:rPr>
          <w:rFonts w:ascii="Times New Roman" w:hAnsi="Times New Roman"/>
          <w:b w:val="false"/>
          <w:i w:val="false"/>
          <w:color w:val="000000"/>
          <w:sz w:val="22"/>
        </w:rPr>
        <w:t>近期股价上行更可能由“事件性催化+业绩边际改善预期”共同驱动：一是公司披露“关于筹划重大资产重组的进展公告”（持续推进出售陕西步森35%股权），强化“瘦身聚焦主业、改善现金流”的预期（该信息发布日期为20251112）；二是三季度单季归母净利润转正（4,795,426.49元）这一边际变化被市场关注，尽管口径间存在分歧需审慎解读（该信息发布日期为20251027/数据口径为2025Q3指标）；三是公司相继披露交易异常波动公告与媒体异动快讯，提升了市场关注与交易热度（该信息发布日期为20251105/20251104）。同时，年内账户“冻结—部分解除”的节奏与资产出售意向共同强化“流动性改善”的叙事框架（该信息发布日期为20250903/20250912）。但需强调，公司仍被实施退市及其他风险警示，基本面与合规风险未解除，投资应保持审慎。</w:t>
      </w:r>
    </w:p>
    <w:p>
      <w:pPr>
        <w:spacing w:before="180" w:after="180"/>
        <w:ind w:left="120"/>
        <w:jc w:val="left"/>
      </w:pPr>
      <w:r>
        <w:rPr>
          <w:rFonts w:ascii="Times New Roman" w:hAnsi="Times New Roman"/>
          <w:b/>
          <w:i w:val="false"/>
          <w:color w:val="000000"/>
          <w:sz w:val="33"/>
        </w:rPr>
        <w:t>1. 基本信息（公司、行业与主营）</w:t>
      </w:r>
    </w:p>
    <w:p>
      <w:pPr>
        <w:numPr>
          <w:ilvl w:val="0"/>
          <w:numId w:val="2"/>
        </w:numPr>
        <w:spacing w:before="0" w:after="0"/>
        <w:jc w:val="left"/>
      </w:pPr>
      <w:r>
        <w:rPr>
          <w:rFonts w:ascii="Times New Roman" w:hAnsi="Times New Roman"/>
          <w:b w:val="false"/>
          <w:i w:val="false"/>
          <w:color w:val="000000"/>
          <w:sz w:val="22"/>
        </w:rPr>
        <w:t>公司名称/证券信息：浙江步森服饰股份有限公司；股票简称：*ST步森；股票代码：002569；交易所：深圳证券交易所；法定代表人：孙小明（该信息发布日期为20250826）。</w:t>
      </w:r>
    </w:p>
    <w:p>
      <w:pPr>
        <w:numPr>
          <w:ilvl w:val="0"/>
          <w:numId w:val="2"/>
        </w:numPr>
        <w:spacing w:before="0" w:after="0"/>
        <w:jc w:val="left"/>
      </w:pPr>
      <w:r>
        <w:rPr>
          <w:rFonts w:ascii="Times New Roman" w:hAnsi="Times New Roman"/>
          <w:b w:val="false"/>
          <w:i w:val="false"/>
          <w:color w:val="000000"/>
          <w:sz w:val="22"/>
        </w:rPr>
        <w:t>行业与主营：定位于品牌男装的设计、生产和销售，产品包括男士衬衫、西服、西裤、茄克衫、T恤衫及职业装等，以“步森男装”为主打，核心理念“舒适商务男装”与品牌态度“活出男人范”（该信息发布日期为20250826）。</w:t>
      </w:r>
    </w:p>
    <w:p>
      <w:pPr>
        <w:numPr>
          <w:ilvl w:val="0"/>
          <w:numId w:val="2"/>
        </w:numPr>
        <w:spacing w:before="0" w:after="0"/>
        <w:jc w:val="left"/>
      </w:pPr>
      <w:r>
        <w:rPr>
          <w:rFonts w:ascii="Times New Roman" w:hAnsi="Times New Roman"/>
          <w:b w:val="false"/>
          <w:i w:val="false"/>
          <w:color w:val="000000"/>
          <w:sz w:val="22"/>
        </w:rPr>
        <w:t>经营模式与渠道结构：采取经销为主、直营为辅，线上线下互补的全渠道模式；线上通过天猫等平台自营与授权店，线下包含直营、联营、加盟；另有团购（工装/制服）与其他（OEM/委外加工/特卖等）（该信息发布日期为20250826）。</w:t>
      </w:r>
    </w:p>
    <w:p>
      <w:pPr>
        <w:numPr>
          <w:ilvl w:val="0"/>
          <w:numId w:val="2"/>
        </w:numPr>
        <w:spacing w:before="0" w:after="0"/>
        <w:jc w:val="left"/>
      </w:pPr>
      <w:r>
        <w:rPr>
          <w:rFonts w:ascii="Times New Roman" w:hAnsi="Times New Roman"/>
          <w:b w:val="false"/>
          <w:i w:val="false"/>
          <w:color w:val="000000"/>
          <w:sz w:val="22"/>
        </w:rPr>
        <w:t>线下网络：2025年1-6月直营店铺存量32家，营业面积合计3,805㎡，平均单店119㎡；2025H1新增门店3家（直营1、加盟2）（该信息发布日期为20250826）。</w:t>
      </w:r>
    </w:p>
    <w:p>
      <w:pPr>
        <w:numPr>
          <w:ilvl w:val="0"/>
          <w:numId w:val="2"/>
        </w:numPr>
        <w:spacing w:before="0" w:after="0"/>
        <w:jc w:val="left"/>
      </w:pPr>
      <w:r>
        <w:rPr>
          <w:rFonts w:ascii="Times New Roman" w:hAnsi="Times New Roman"/>
          <w:b w:val="false"/>
          <w:i w:val="false"/>
          <w:color w:val="000000"/>
          <w:sz w:val="22"/>
        </w:rPr>
        <w:t>行业内分部与毛利结构（2025H1）：服装制造业营业收入48,455,990.79元、毛利率31.49%；分产品毛利率：西服46.32%、裤装43.43%、针织衫43.22%、衬衫38.47%、外套31.54%、其他为-47.86%（该信息发布日期为20250826）。</w:t>
      </w:r>
    </w:p>
    <w:p>
      <w:pPr>
        <w:numPr>
          <w:ilvl w:val="0"/>
          <w:numId w:val="2"/>
        </w:numPr>
        <w:spacing w:before="0" w:after="0"/>
        <w:jc w:val="left"/>
      </w:pPr>
      <w:r>
        <w:rPr>
          <w:rFonts w:ascii="Times New Roman" w:hAnsi="Times New Roman"/>
          <w:b w:val="false"/>
          <w:i w:val="false"/>
          <w:color w:val="000000"/>
          <w:sz w:val="22"/>
        </w:rPr>
        <w:t>创始人与同类可比公司：不清楚（公开材料未披露/未提供）。</w:t>
      </w:r>
    </w:p>
    <w:p>
      <w:pPr>
        <w:spacing w:before="180" w:after="180"/>
        <w:ind w:left="120"/>
        <w:jc w:val="left"/>
      </w:pPr>
      <w:r>
        <w:rPr>
          <w:rFonts w:ascii="Times New Roman" w:hAnsi="Times New Roman"/>
          <w:b/>
          <w:i w:val="false"/>
          <w:color w:val="000000"/>
          <w:sz w:val="33"/>
        </w:rPr>
        <w:t>2. 近期公开的业务进展（含关键数据与时间线）</w:t>
      </w:r>
    </w:p>
    <w:p>
      <w:pPr>
        <w:numPr>
          <w:ilvl w:val="0"/>
          <w:numId w:val="3"/>
        </w:numPr>
        <w:spacing w:before="0" w:after="0"/>
        <w:jc w:val="left"/>
      </w:pPr>
      <w:r>
        <w:rPr>
          <w:rFonts w:ascii="Times New Roman" w:hAnsi="Times New Roman"/>
          <w:b w:val="false"/>
          <w:i w:val="false"/>
          <w:color w:val="000000"/>
          <w:sz w:val="22"/>
        </w:rPr>
        <w:t>重大资产重组进展：公司披露“关于筹划重大资产重组的进展公告”，表明相关事项仍在推进（该信息发布日期为20251112）。</w:t>
      </w:r>
    </w:p>
    <w:p>
      <w:pPr>
        <w:numPr>
          <w:ilvl w:val="0"/>
          <w:numId w:val="3"/>
        </w:numPr>
        <w:spacing w:before="0" w:after="0"/>
        <w:jc w:val="left"/>
      </w:pPr>
      <w:r>
        <w:rPr>
          <w:rFonts w:ascii="Times New Roman" w:hAnsi="Times New Roman"/>
          <w:b w:val="false"/>
          <w:i w:val="false"/>
          <w:color w:val="000000"/>
          <w:sz w:val="22"/>
        </w:rPr>
        <w:t>出售陕西步森35%股权（重大资产重组）：公司拟以现金方式向南通二纺机出售陕西步森35%股权，旨在优化资产结构、改善现金流、聚焦服装核心业务；并购周报亦复核该事项，披露陕西步森工商信息与业务范围（该信息发布日期为20250907/20250911）。</w:t>
      </w:r>
    </w:p>
    <w:p>
      <w:pPr>
        <w:numPr>
          <w:ilvl w:val="0"/>
          <w:numId w:val="3"/>
        </w:numPr>
        <w:spacing w:before="0" w:after="0"/>
        <w:jc w:val="left"/>
      </w:pPr>
      <w:r>
        <w:rPr>
          <w:rFonts w:ascii="Times New Roman" w:hAnsi="Times New Roman"/>
          <w:b w:val="false"/>
          <w:i w:val="false"/>
          <w:color w:val="000000"/>
          <w:sz w:val="22"/>
        </w:rPr>
        <w:t>三季度报告披露与业绩边际变化：公司发布2025年三季度报告（该信息发布日期为20251027）。三季度若按指标口径，单季归母净利润为4,795,426.49元（转正）；但同期“净利润”口径为-5,905,271.45元，显示不同口径差异，需谨慎理解（该信息发布日期为2025Q3指标）。三季度营收同比-12.49%，单季营收数据在不同来源间存在不一致（37,038,340.96元 vs 88,989,775.91元），提示统计口径或采集渠道差异（该信息发布日期为2025Q3指标）。</w:t>
      </w:r>
    </w:p>
    <w:p>
      <w:pPr>
        <w:numPr>
          <w:ilvl w:val="0"/>
          <w:numId w:val="3"/>
        </w:numPr>
        <w:spacing w:before="0" w:after="0"/>
        <w:jc w:val="left"/>
      </w:pPr>
      <w:r>
        <w:rPr>
          <w:rFonts w:ascii="Times New Roman" w:hAnsi="Times New Roman"/>
          <w:b w:val="false"/>
          <w:i w:val="false"/>
          <w:color w:val="000000"/>
          <w:sz w:val="22"/>
        </w:rPr>
        <w:t>交易异常波动与媒体关注：公司披露股票交易异常波动公告；同时媒体快讯提示三日涨跌幅偏离达12.32%（该信息发布日期为20251105/20251104）。</w:t>
      </w:r>
    </w:p>
    <w:p>
      <w:pPr>
        <w:numPr>
          <w:ilvl w:val="0"/>
          <w:numId w:val="3"/>
        </w:numPr>
        <w:spacing w:before="0" w:after="0"/>
        <w:jc w:val="left"/>
      </w:pPr>
      <w:r>
        <w:rPr>
          <w:rFonts w:ascii="Times New Roman" w:hAnsi="Times New Roman"/>
          <w:b w:val="false"/>
          <w:i w:val="false"/>
          <w:color w:val="000000"/>
          <w:sz w:val="22"/>
        </w:rPr>
        <w:t>银行账户“冻结—部分解除”：9月1日新增资金被冻结合计183.694142万元；9月12日公司部分银行账户解除冻结（该信息发布日期为20250903/20250912）。此后媒体深入文章将冻结、重组、退市风险等要素合并呈现，强化了市场叙事的可见度（该信息发布日期为20251023/20251027/20251104）。</w:t>
      </w:r>
    </w:p>
    <w:p>
      <w:pPr>
        <w:numPr>
          <w:ilvl w:val="0"/>
          <w:numId w:val="3"/>
        </w:numPr>
        <w:spacing w:before="0" w:after="0"/>
        <w:jc w:val="left"/>
      </w:pPr>
      <w:r>
        <w:rPr>
          <w:rFonts w:ascii="Times New Roman" w:hAnsi="Times New Roman"/>
          <w:b w:val="false"/>
          <w:i w:val="false"/>
          <w:color w:val="000000"/>
          <w:sz w:val="22"/>
        </w:rPr>
        <w:t>渠道订单线索：2025年4月6日召开订货会，订货金额92,949,970.00元，同比下滑29.36%，上年同期订货会执行率100%（该信息发布日期为20250826）。</w:t>
      </w:r>
    </w:p>
    <w:p>
      <w:pPr>
        <w:numPr>
          <w:ilvl w:val="0"/>
          <w:numId w:val="3"/>
        </w:numPr>
        <w:spacing w:before="0" w:after="0"/>
        <w:jc w:val="left"/>
      </w:pPr>
      <w:r>
        <w:rPr>
          <w:rFonts w:ascii="Times New Roman" w:hAnsi="Times New Roman"/>
          <w:b w:val="false"/>
          <w:i w:val="false"/>
          <w:color w:val="000000"/>
          <w:sz w:val="22"/>
        </w:rPr>
        <w:t>门店拓展：2025H1新开店3家（直营1、加盟2）（该信息发布日期为20250826）。</w:t>
      </w:r>
    </w:p>
    <w:p>
      <w:pPr>
        <w:spacing w:before="269" w:after="269"/>
        <w:ind w:left="120"/>
        <w:jc w:val="left"/>
      </w:pPr>
      <w:r>
        <w:rPr>
          <w:rFonts w:ascii="Times New Roman" w:hAnsi="Times New Roman"/>
          <w:b w:val="false"/>
          <w:i w:val="false"/>
          <w:color w:val="000000"/>
          <w:sz w:val="22"/>
        </w:rPr>
        <w:t>表1：近期关键事件与潜在影响（摘录）</w:t>
      </w:r>
    </w:p>
    <w:tbl>
      <w:tblPr>
        <w:tblW w:w="0" w:type="auto"/>
        <w:tblCellSpacing w:w="0" w:type="auto"/>
        <w:tblInd w:w="115" w:type="dxa"/>
        <w:tblBorders>
          <w:top w:val="single" w:color="aaaaaa" w:sz="8"/>
          <w:left w:val="single" w:color="aaaaaa" w:sz="8"/>
          <w:bottom w:val="single" w:color="aaaaaa" w:sz="8"/>
          <w:right w:val="single" w:color="aaaaaa" w:sz="8"/>
          <w:insideH w:val="none"/>
          <w:insideV w:val="none"/>
        </w:tblBorders>
      </w:tblPr>
      <w:tblGrid>
        <w:gridCol w:w="4608"/>
        <w:gridCol w:w="3193"/>
        <w:gridCol w:w="5833"/>
      </w:tblGrid>
      <w:tr>
        <w:trPr>
          <w:trHeight w:val="525" w:hRule="atLeast"/>
        </w:trPr>
        <w:tc>
          <w:tcPr>
            <w:tcW w:w="4608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事件/数据</w:t>
            </w:r>
          </w:p>
        </w:tc>
        <w:tc>
          <w:tcPr>
            <w:tcW w:w="3193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时间</w:t>
            </w:r>
          </w:p>
        </w:tc>
        <w:tc>
          <w:tcPr>
            <w:tcW w:w="5833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潜在影响/解读</w:t>
            </w:r>
          </w:p>
        </w:tc>
      </w:tr>
      <w:tr>
        <w:trPr>
          <w:trHeight w:val="510" w:hRule="atLeast"/>
        </w:trPr>
        <w:tc>
          <w:tcPr>
            <w:tcW w:w="4608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筹划重大资产重组进展公告</w:t>
            </w:r>
          </w:p>
        </w:tc>
        <w:tc>
          <w:tcPr>
            <w:tcW w:w="3193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20251112</w:t>
            </w:r>
          </w:p>
        </w:tc>
        <w:tc>
          <w:tcPr>
            <w:tcW w:w="5833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强化“资产瘦身、聚焦主业、改善现金流”预期，事件性催化延续</w:t>
            </w:r>
          </w:p>
        </w:tc>
      </w:tr>
      <w:tr>
        <w:trPr>
          <w:trHeight w:val="510" w:hRule="atLeast"/>
        </w:trPr>
        <w:tc>
          <w:tcPr>
            <w:tcW w:w="4608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拟出售陕西步森35%股权</w:t>
            </w:r>
          </w:p>
        </w:tc>
        <w:tc>
          <w:tcPr>
            <w:tcW w:w="3193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20250907/20250911</w:t>
            </w:r>
          </w:p>
        </w:tc>
        <w:tc>
          <w:tcPr>
            <w:tcW w:w="5833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退出低效资产、回笼资金，聚焦服装主业；并购周报交叉验证背景与目的</w:t>
            </w:r>
          </w:p>
        </w:tc>
      </w:tr>
      <w:tr>
        <w:trPr>
          <w:trHeight w:val="510" w:hRule="atLeast"/>
        </w:trPr>
        <w:tc>
          <w:tcPr>
            <w:tcW w:w="4608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2025Q3单季归母净利润为正</w:t>
            </w:r>
          </w:p>
        </w:tc>
        <w:tc>
          <w:tcPr>
            <w:tcW w:w="3193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2025Q3</w:t>
            </w:r>
          </w:p>
        </w:tc>
        <w:tc>
          <w:tcPr>
            <w:tcW w:w="5833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边际改善信号，但与“净利润”口径不一致，需审慎理解</w:t>
            </w:r>
          </w:p>
        </w:tc>
      </w:tr>
      <w:tr>
        <w:trPr>
          <w:trHeight w:val="510" w:hRule="atLeast"/>
        </w:trPr>
        <w:tc>
          <w:tcPr>
            <w:tcW w:w="4608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交易异常波动公告/媒体快讯</w:t>
            </w:r>
          </w:p>
        </w:tc>
        <w:tc>
          <w:tcPr>
            <w:tcW w:w="3193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20251105/20251104</w:t>
            </w:r>
          </w:p>
        </w:tc>
        <w:tc>
          <w:tcPr>
            <w:tcW w:w="5833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加大市场关注与交投活跃度，短期强化股价弹性</w:t>
            </w:r>
          </w:p>
        </w:tc>
      </w:tr>
      <w:tr>
        <w:trPr>
          <w:trHeight w:val="510" w:hRule="atLeast"/>
        </w:trPr>
        <w:tc>
          <w:tcPr>
            <w:tcW w:w="4608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账户冻结与部分解冻</w:t>
            </w:r>
          </w:p>
        </w:tc>
        <w:tc>
          <w:tcPr>
            <w:tcW w:w="3193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20250903/20250912</w:t>
            </w:r>
          </w:p>
        </w:tc>
        <w:tc>
          <w:tcPr>
            <w:tcW w:w="5833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流动性与合规风险的阶段性缓解信号，与资产重组叙事相呼应</w:t>
            </w:r>
          </w:p>
        </w:tc>
      </w:tr>
      <w:tr>
        <w:trPr>
          <w:trHeight w:val="675" w:hRule="atLeast"/>
        </w:trPr>
        <w:tc>
          <w:tcPr>
            <w:tcW w:w="4608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订货会金额9,294.997万元，同比-29.36%</w:t>
            </w:r>
          </w:p>
        </w:tc>
        <w:tc>
          <w:tcPr>
            <w:tcW w:w="3193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20250406</w:t>
            </w:r>
          </w:p>
        </w:tc>
        <w:tc>
          <w:tcPr>
            <w:tcW w:w="5833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订单线索，显示需求压力仍在，执行力有支撑（上年执行率100%）</w:t>
            </w:r>
          </w:p>
        </w:tc>
      </w:tr>
    </w:tbl>
    <w:p>
      <w:pPr>
        <w:spacing w:before="161" w:after="161"/>
        <w:ind w:left="120"/>
        <w:jc w:val="left"/>
      </w:pPr>
      <w:r>
        <w:rPr>
          <w:rFonts w:ascii="Times New Roman" w:hAnsi="Times New Roman"/>
          <w:b/>
          <w:i w:val="false"/>
          <w:color w:val="000000"/>
          <w:sz w:val="44"/>
        </w:rPr>
        <w:t>3. 正在筹备/推进、且可能成为增量的方向</w:t>
      </w:r>
    </w:p>
    <w:p>
      <w:pPr>
        <w:numPr>
          <w:ilvl w:val="0"/>
          <w:numId w:val="4"/>
        </w:numPr>
        <w:spacing w:before="0" w:after="0"/>
        <w:jc w:val="left"/>
      </w:pPr>
      <w:r>
        <w:rPr>
          <w:rFonts w:ascii="Times New Roman" w:hAnsi="Times New Roman"/>
          <w:b w:val="false"/>
          <w:i w:val="false"/>
          <w:color w:val="000000"/>
          <w:sz w:val="22"/>
        </w:rPr>
        <w:t>资产结构优化与聚焦主业：出售陕西步森35%股权的交易目标被多处表述为“优化资产结构、改善现金流、集中资源聚焦服装核心业务”，若落地有望提升资源配置效率，改善短期资金面，增强主业投入与终端经营韧性（该信息发布日期为20250907/20250911）。</w:t>
      </w:r>
    </w:p>
    <w:p>
      <w:pPr>
        <w:numPr>
          <w:ilvl w:val="0"/>
          <w:numId w:val="4"/>
        </w:numPr>
        <w:spacing w:before="0" w:after="0"/>
        <w:jc w:val="left"/>
      </w:pPr>
      <w:r>
        <w:rPr>
          <w:rFonts w:ascii="Times New Roman" w:hAnsi="Times New Roman"/>
          <w:b w:val="false"/>
          <w:i w:val="false"/>
          <w:color w:val="000000"/>
          <w:sz w:val="22"/>
        </w:rPr>
        <w:t>全渠道与新零售能力的持续优化：公司多次强调“经销为主、直营为辅、线上线下互补”，并提出“优胜劣汰支持优质加盟商、加大直营精细化管理、升级电商服务、推进产品力/渠道力/品牌力/运营力提升”，这类运营提效若兑现可成为利润端的中短期增量（该信息发布日期为20250826）。</w:t>
      </w:r>
    </w:p>
    <w:p>
      <w:pPr>
        <w:numPr>
          <w:ilvl w:val="0"/>
          <w:numId w:val="4"/>
        </w:numPr>
        <w:spacing w:before="0" w:after="0"/>
        <w:jc w:val="left"/>
      </w:pPr>
      <w:r>
        <w:rPr>
          <w:rFonts w:ascii="Times New Roman" w:hAnsi="Times New Roman"/>
          <w:b w:val="false"/>
          <w:i w:val="false"/>
          <w:color w:val="000000"/>
          <w:sz w:val="22"/>
        </w:rPr>
        <w:t>团购/制服大客户业务：通过招投标面向银行、学校、航空、快递等行业，按需生产交付的团购模式，具备B端现金流与规模属性，若获取订单或中标动态，将构成可验证的新增量线索（当前未见新增订单披露，属存量模式描述）（该信息发布日期为20250826）。</w:t>
      </w:r>
    </w:p>
    <w:p>
      <w:pPr>
        <w:spacing w:before="180" w:after="180"/>
        <w:ind w:left="120"/>
        <w:jc w:val="left"/>
      </w:pPr>
      <w:r>
        <w:rPr>
          <w:rFonts w:ascii="Times New Roman" w:hAnsi="Times New Roman"/>
          <w:b/>
          <w:i w:val="false"/>
          <w:color w:val="000000"/>
          <w:sz w:val="33"/>
        </w:rPr>
        <w:t>4. 新的业务订单（如有）</w:t>
      </w:r>
    </w:p>
    <w:p>
      <w:pPr>
        <w:numPr>
          <w:ilvl w:val="0"/>
          <w:numId w:val="5"/>
        </w:numPr>
        <w:spacing w:before="0" w:after="0"/>
        <w:jc w:val="left"/>
      </w:pPr>
      <w:r>
        <w:rPr>
          <w:rFonts w:ascii="Times New Roman" w:hAnsi="Times New Roman"/>
          <w:b w:val="false"/>
          <w:i w:val="false"/>
          <w:color w:val="000000"/>
          <w:sz w:val="22"/>
        </w:rPr>
        <w:t>订货会数据可作为前端订单线索：2025年4月6日订货金额为92,949,970.00元，同比-29.36%，上年同期订货会执行率100%，但公司未披露本期执行率与后续转化情况（该信息发布日期为20250826）。</w:t>
      </w:r>
    </w:p>
    <w:p>
      <w:pPr>
        <w:numPr>
          <w:ilvl w:val="0"/>
          <w:numId w:val="5"/>
        </w:numPr>
        <w:spacing w:before="0" w:after="0"/>
        <w:jc w:val="left"/>
      </w:pPr>
      <w:r>
        <w:rPr>
          <w:rFonts w:ascii="Times New Roman" w:hAnsi="Times New Roman"/>
          <w:b w:val="false"/>
          <w:i w:val="false"/>
          <w:color w:val="000000"/>
          <w:sz w:val="22"/>
        </w:rPr>
        <w:t>除此之外，尚未查询到新的具体订单公告或中标信息。结论：不清楚（公开渠道未见披露）。</w:t>
      </w:r>
    </w:p>
    <w:p>
      <w:pPr>
        <w:spacing w:before="180" w:after="180"/>
        <w:ind w:left="120"/>
        <w:jc w:val="left"/>
      </w:pPr>
      <w:r>
        <w:rPr>
          <w:rFonts w:ascii="Times New Roman" w:hAnsi="Times New Roman"/>
          <w:b/>
          <w:i w:val="false"/>
          <w:color w:val="000000"/>
          <w:sz w:val="33"/>
        </w:rPr>
        <w:t>5. 外部网络信息对公司潜力的提及</w:t>
      </w:r>
    </w:p>
    <w:p>
      <w:pPr>
        <w:numPr>
          <w:ilvl w:val="0"/>
          <w:numId w:val="6"/>
        </w:numPr>
        <w:spacing w:before="0" w:after="0"/>
        <w:jc w:val="left"/>
      </w:pPr>
      <w:r>
        <w:rPr>
          <w:rFonts w:ascii="Times New Roman" w:hAnsi="Times New Roman"/>
          <w:b w:val="false"/>
          <w:i w:val="false"/>
          <w:color w:val="000000"/>
          <w:sz w:val="22"/>
        </w:rPr>
        <w:t>多家媒体与行业公众号系统梳理了公司“出售陕西步森35%股权、账户冻结事件、连续亏损与被实施退市风险警示”等脉络，强调“剥离非核心资产、聚焦主业”的战略意图，强化市场对“重组+聚焦”的关注度（该信息发布日期为20251023/20251027/20251104）。</w:t>
      </w:r>
    </w:p>
    <w:p>
      <w:pPr>
        <w:numPr>
          <w:ilvl w:val="0"/>
          <w:numId w:val="6"/>
        </w:numPr>
        <w:spacing w:before="0" w:after="0"/>
        <w:jc w:val="left"/>
      </w:pPr>
      <w:r>
        <w:rPr>
          <w:rFonts w:ascii="Times New Roman" w:hAnsi="Times New Roman"/>
          <w:b w:val="false"/>
          <w:i w:val="false"/>
          <w:color w:val="000000"/>
          <w:sz w:val="22"/>
        </w:rPr>
        <w:t>市场快讯型信息强调了股价的阶段性异动，客观上提升了短期交易与讨论热度（该信息发布日期为20251104）。</w:t>
      </w:r>
    </w:p>
    <w:p>
      <w:pPr>
        <w:spacing w:before="180" w:after="180"/>
        <w:ind w:left="120"/>
        <w:jc w:val="left"/>
      </w:pPr>
      <w:r>
        <w:rPr>
          <w:rFonts w:ascii="Times New Roman" w:hAnsi="Times New Roman"/>
          <w:b/>
          <w:i w:val="false"/>
          <w:color w:val="000000"/>
          <w:sz w:val="33"/>
        </w:rPr>
        <w:t>6. 业务进展与市场热点对股价的可能关联（批判性分析）</w:t>
      </w:r>
    </w:p>
    <w:p>
      <w:pPr>
        <w:numPr>
          <w:ilvl w:val="0"/>
          <w:numId w:val="7"/>
        </w:numPr>
        <w:spacing w:before="0" w:after="0"/>
        <w:jc w:val="left"/>
      </w:pPr>
      <w:r>
        <w:rPr>
          <w:rFonts w:ascii="Times New Roman" w:hAnsi="Times New Roman"/>
          <w:b w:val="false"/>
          <w:i w:val="false"/>
          <w:color w:val="000000"/>
          <w:sz w:val="22"/>
        </w:rPr>
        <w:t>事件性催化：</w:t>
      </w:r>
    </w:p>
    <w:p>
      <w:pPr>
        <w:numPr>
          <w:ilvl w:val="0"/>
          <w:numId w:val="7"/>
        </w:numPr>
        <w:spacing w:before="0" w:after="0"/>
        <w:jc w:val="left"/>
      </w:pPr>
      <w:r>
        <w:rPr>
          <w:rFonts w:ascii="Times New Roman" w:hAnsi="Times New Roman"/>
          <w:b/>
          <w:i w:val="false"/>
          <w:color w:val="000000"/>
          <w:sz w:val="22"/>
        </w:rPr>
        <w:t>重大资产重组推进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（出售陕西步森35%股权）——被市场解读为“剥离非核心/低效资产、回笼现金、聚焦主业”，与近期A股对“资产整合/轻装上阵/主营聚焦”逻辑偏好一致，可解释市场情绪端的改善（该信息发布日期为20251112/20250907/20250911）。</w:t>
      </w:r>
    </w:p>
    <w:p>
      <w:pPr>
        <w:numPr>
          <w:ilvl w:val="0"/>
          <w:numId w:val="7"/>
        </w:numPr>
        <w:spacing w:before="0" w:after="0"/>
        <w:jc w:val="left"/>
      </w:pPr>
      <w:r>
        <w:rPr>
          <w:rFonts w:ascii="Times New Roman" w:hAnsi="Times New Roman"/>
          <w:b/>
          <w:i w:val="false"/>
          <w:color w:val="000000"/>
          <w:sz w:val="22"/>
        </w:rPr>
        <w:t>账户部分解冻</w:t>
      </w:r>
      <w:r>
        <w:rPr>
          <w:rFonts w:ascii="Times New Roman" w:hAnsi="Times New Roman"/>
          <w:b w:val="false"/>
          <w:i w:val="false"/>
          <w:color w:val="000000"/>
          <w:sz w:val="22"/>
        </w:rPr>
        <w:t>与此前冻结事件的阶段性缓解，叠加资产处置预期，使“现金流与经营稳定性好转”的叙事具备一定支撑，尽管尚未看到大额资金回流的明确信披（该信息发布日期为20250903/20250912）。</w:t>
      </w:r>
    </w:p>
    <w:p>
      <w:pPr>
        <w:numPr>
          <w:ilvl w:val="0"/>
          <w:numId w:val="7"/>
        </w:numPr>
        <w:spacing w:before="0" w:after="0"/>
        <w:jc w:val="left"/>
      </w:pPr>
      <w:r>
        <w:rPr>
          <w:rFonts w:ascii="Times New Roman" w:hAnsi="Times New Roman"/>
          <w:b w:val="false"/>
          <w:i w:val="false"/>
          <w:color w:val="000000"/>
          <w:sz w:val="22"/>
        </w:rPr>
        <w:t>业绩边际变化预期：</w:t>
      </w:r>
    </w:p>
    <w:p>
      <w:pPr>
        <w:numPr>
          <w:ilvl w:val="0"/>
          <w:numId w:val="7"/>
        </w:numPr>
        <w:spacing w:before="0" w:after="0"/>
        <w:jc w:val="left"/>
      </w:pPr>
      <w:r>
        <w:rPr>
          <w:rFonts w:ascii="Times New Roman" w:hAnsi="Times New Roman"/>
          <w:b w:val="false"/>
          <w:i w:val="false"/>
          <w:color w:val="000000"/>
          <w:sz w:val="22"/>
        </w:rPr>
        <w:t>三季度“单季归母净利润转正”这一信号易被市场放大为拐点线索；但“净利润”口径仍为负、营收同比下滑且不同数据口径存在不一致，因此对“基本面反转”的定性需保持谨慎（该信息发布日期为2025Q3指标/20251027）。</w:t>
      </w:r>
    </w:p>
    <w:p>
      <w:pPr>
        <w:numPr>
          <w:ilvl w:val="0"/>
          <w:numId w:val="7"/>
        </w:numPr>
        <w:spacing w:before="0" w:after="0"/>
        <w:jc w:val="left"/>
      </w:pPr>
      <w:r>
        <w:rPr>
          <w:rFonts w:ascii="Times New Roman" w:hAnsi="Times New Roman"/>
          <w:b w:val="false"/>
          <w:i w:val="false"/>
          <w:color w:val="000000"/>
          <w:sz w:val="22"/>
        </w:rPr>
        <w:t>交易层因素：</w:t>
      </w:r>
    </w:p>
    <w:p>
      <w:pPr>
        <w:numPr>
          <w:ilvl w:val="0"/>
          <w:numId w:val="7"/>
        </w:numPr>
        <w:spacing w:before="0" w:after="0"/>
        <w:jc w:val="left"/>
      </w:pPr>
      <w:r>
        <w:rPr>
          <w:rFonts w:ascii="Times New Roman" w:hAnsi="Times New Roman"/>
          <w:b w:val="false"/>
          <w:i w:val="false"/>
          <w:color w:val="000000"/>
          <w:sz w:val="22"/>
        </w:rPr>
        <w:t>交易异常波动公告与媒体快讯在10/31—11/13期间伴随股价由9.74元升至11.34元，期间多日涨幅居前，交易热度与主题讨论升温可能放大了事件催化的价格体现（该信息发布日期为20251105/20251104；价格区间为20251031—20251113）。</w:t>
      </w:r>
    </w:p>
    <w:p>
      <w:pPr>
        <w:numPr>
          <w:ilvl w:val="0"/>
          <w:numId w:val="7"/>
        </w:numPr>
        <w:spacing w:before="0" w:after="0"/>
        <w:jc w:val="left"/>
      </w:pPr>
      <w:r>
        <w:rPr>
          <w:rFonts w:ascii="Times New Roman" w:hAnsi="Times New Roman"/>
          <w:b w:val="false"/>
          <w:i w:val="false"/>
          <w:color w:val="000000"/>
          <w:sz w:val="22"/>
        </w:rPr>
        <w:t>重要约束与风险对冲：</w:t>
      </w:r>
    </w:p>
    <w:p>
      <w:pPr>
        <w:numPr>
          <w:ilvl w:val="0"/>
          <w:numId w:val="7"/>
        </w:numPr>
        <w:spacing w:before="0" w:after="0"/>
        <w:jc w:val="left"/>
      </w:pPr>
      <w:r>
        <w:rPr>
          <w:rFonts w:ascii="Times New Roman" w:hAnsi="Times New Roman"/>
          <w:b w:val="false"/>
          <w:i w:val="false"/>
          <w:color w:val="000000"/>
          <w:sz w:val="22"/>
        </w:rPr>
        <w:t>公司仍处于“退市风险警示+其他风险警示”状态，且2025H1显示收入与毛利承压，加盟/直营/电商优化与团购开拓仍待新订单与执行数据验证；</w:t>
      </w:r>
      <w:r>
        <w:rPr>
          <w:rFonts w:ascii="Times New Roman" w:hAnsi="Times New Roman"/>
          <w:b/>
          <w:i w:val="false"/>
          <w:color w:val="000000"/>
          <w:sz w:val="22"/>
        </w:rPr>
        <w:t>若资产重组推进不及预期或基本面未见实质改善，上述“事件驱动”难以沉淀为趋势级基本面变化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（该信息发布日期为20250826）。</w:t>
      </w:r>
    </w:p>
    <w:p>
      <w:pPr>
        <w:spacing w:before="269" w:after="269"/>
        <w:ind w:left="120"/>
        <w:jc w:val="left"/>
      </w:pPr>
      <w:r>
        <w:rPr>
          <w:rFonts w:ascii="Times New Roman" w:hAnsi="Times New Roman"/>
          <w:b w:val="false"/>
          <w:i w:val="false"/>
          <w:color w:val="000000"/>
          <w:sz w:val="22"/>
        </w:rPr>
        <w:t>表2：股价与时点事件（摘录）</w:t>
      </w:r>
    </w:p>
    <w:tbl>
      <w:tblPr>
        <w:tblW w:w="0" w:type="auto"/>
        <w:tblCellSpacing w:w="0" w:type="auto"/>
        <w:tblInd w:w="115" w:type="dxa"/>
        <w:tblBorders>
          <w:top w:val="single" w:color="aaaaaa" w:sz="8"/>
          <w:left w:val="single" w:color="aaaaaa" w:sz="8"/>
          <w:bottom w:val="single" w:color="aaaaaa" w:sz="8"/>
          <w:right w:val="single" w:color="aaaaaa" w:sz="8"/>
          <w:insideH w:val="none"/>
          <w:insideV w:val="none"/>
        </w:tblBorders>
      </w:tblPr>
      <w:tblGrid>
        <w:gridCol w:w="3040"/>
        <w:gridCol w:w="4890"/>
        <w:gridCol w:w="5704"/>
      </w:tblGrid>
      <w:tr>
        <w:trPr>
          <w:trHeight w:val="525" w:hRule="atLeast"/>
        </w:trPr>
        <w:tc>
          <w:tcPr>
            <w:tcW w:w="3040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日期</w:t>
            </w:r>
          </w:p>
        </w:tc>
        <w:tc>
          <w:tcPr>
            <w:tcW w:w="4890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收盘价/涨跌幅</w:t>
            </w:r>
          </w:p>
        </w:tc>
        <w:tc>
          <w:tcPr>
            <w:tcW w:w="5704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关联事件/解读</w:t>
            </w:r>
          </w:p>
        </w:tc>
      </w:tr>
      <w:tr>
        <w:trPr>
          <w:trHeight w:val="510" w:hRule="atLeast"/>
        </w:trPr>
        <w:tc>
          <w:tcPr>
            <w:tcW w:w="3040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2025-10-31</w:t>
            </w:r>
          </w:p>
        </w:tc>
        <w:tc>
          <w:tcPr>
            <w:tcW w:w="4890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9.74元；+3.84%</w:t>
            </w:r>
          </w:p>
        </w:tc>
        <w:tc>
          <w:tcPr>
            <w:tcW w:w="5704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阶段底部附近，后续连续异动提升关注度</w:t>
            </w:r>
          </w:p>
        </w:tc>
      </w:tr>
      <w:tr>
        <w:trPr>
          <w:trHeight w:val="510" w:hRule="atLeast"/>
        </w:trPr>
        <w:tc>
          <w:tcPr>
            <w:tcW w:w="3040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2025-11-03/11-04</w:t>
            </w:r>
          </w:p>
        </w:tc>
        <w:tc>
          <w:tcPr>
            <w:tcW w:w="4890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9.94/10.42元；+2.05%/+4.83%</w:t>
            </w:r>
          </w:p>
        </w:tc>
        <w:tc>
          <w:tcPr>
            <w:tcW w:w="5704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媒体快讯提示三日偏离值达12.32%，交易热度上升（异动）</w:t>
            </w:r>
          </w:p>
        </w:tc>
      </w:tr>
      <w:tr>
        <w:trPr>
          <w:trHeight w:val="510" w:hRule="atLeast"/>
        </w:trPr>
        <w:tc>
          <w:tcPr>
            <w:tcW w:w="3040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2025-11-05</w:t>
            </w:r>
          </w:p>
        </w:tc>
        <w:tc>
          <w:tcPr>
            <w:tcW w:w="4890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10.57元；+1.44%</w:t>
            </w:r>
          </w:p>
        </w:tc>
        <w:tc>
          <w:tcPr>
            <w:tcW w:w="5704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公司发布交易异常波动公告，事件关注继续</w:t>
            </w:r>
          </w:p>
        </w:tc>
      </w:tr>
      <w:tr>
        <w:trPr>
          <w:trHeight w:val="510" w:hRule="atLeast"/>
        </w:trPr>
        <w:tc>
          <w:tcPr>
            <w:tcW w:w="3040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2025-11-12/11-13</w:t>
            </w:r>
          </w:p>
        </w:tc>
        <w:tc>
          <w:tcPr>
            <w:tcW w:w="4890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10.85/11.34元；+5.03%/+4.52%</w:t>
            </w:r>
          </w:p>
        </w:tc>
        <w:tc>
          <w:tcPr>
            <w:tcW w:w="5704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披露重组进展公告次日股价延续上行，事件性催化强化</w:t>
            </w:r>
          </w:p>
        </w:tc>
      </w:tr>
    </w:tbl>
    <w:p>
      <w:pPr>
        <w:spacing w:before="161" w:after="161"/>
        <w:ind w:left="120"/>
        <w:jc w:val="left"/>
      </w:pPr>
      <w:r>
        <w:rPr>
          <w:rFonts w:ascii="Times New Roman" w:hAnsi="Times New Roman"/>
          <w:b/>
          <w:i w:val="false"/>
          <w:color w:val="000000"/>
          <w:sz w:val="44"/>
        </w:rPr>
        <w:t>结语（研究判断）</w:t>
      </w:r>
    </w:p>
    <w:p>
      <w:pPr>
        <w:numPr>
          <w:ilvl w:val="0"/>
          <w:numId w:val="8"/>
        </w:numPr>
        <w:spacing w:before="0" w:after="0"/>
        <w:jc w:val="left"/>
      </w:pPr>
      <w:r>
        <w:rPr>
          <w:rFonts w:ascii="Times New Roman" w:hAnsi="Times New Roman"/>
          <w:b w:val="false"/>
          <w:i w:val="false"/>
          <w:color w:val="000000"/>
          <w:sz w:val="22"/>
        </w:rPr>
        <w:t>核心驱动力：近期股价弹性主要来自“资产重组推进+账户解冻带来的流动性改善预期+三季度单季归母转正的边际信号+交易异常波动引致的市场关注提升”。其中，资产重组是最明确的基本面事件锚。</w:t>
      </w:r>
    </w:p>
    <w:p>
      <w:pPr>
        <w:numPr>
          <w:ilvl w:val="0"/>
          <w:numId w:val="8"/>
        </w:numPr>
        <w:spacing w:before="0" w:after="0"/>
        <w:jc w:val="left"/>
      </w:pPr>
      <w:r>
        <w:rPr>
          <w:rFonts w:ascii="Times New Roman" w:hAnsi="Times New Roman"/>
          <w:b w:val="false"/>
          <w:i w:val="false"/>
          <w:color w:val="000000"/>
          <w:sz w:val="22"/>
        </w:rPr>
        <w:t>需重点跟踪：重组落地的资金体量与到账节奏、后续对负债与现金流的实质改善；主业渠道与大客户团购的订单兑现；四季度至来年经营质量变化。</w:t>
      </w:r>
    </w:p>
    <w:p>
      <w:pPr>
        <w:numPr>
          <w:ilvl w:val="0"/>
          <w:numId w:val="8"/>
        </w:numPr>
        <w:spacing w:before="0" w:after="0"/>
        <w:jc w:val="left"/>
      </w:pPr>
      <w:r>
        <w:rPr>
          <w:rFonts w:ascii="Times New Roman" w:hAnsi="Times New Roman"/>
          <w:b w:val="false"/>
          <w:i w:val="false"/>
          <w:color w:val="000000"/>
          <w:sz w:val="22"/>
        </w:rPr>
        <w:t>关键风险：重组推进不及预期、订货转化/渠道提效不及预期、退市与其他风险警示未解除前的合规与市场预期波动风险。</w:t>
      </w:r>
    </w:p>
    <w:p>
      <w:pPr>
        <w:spacing w:before="180" w:after="180"/>
        <w:ind w:left="120"/>
        <w:jc w:val="left"/>
      </w:pPr>
      <w:r>
        <w:rPr>
          <w:rFonts w:ascii="Times New Roman" w:hAnsi="Times New Roman"/>
          <w:b/>
          <w:i w:val="false"/>
          <w:color w:val="000000"/>
          <w:sz w:val="33"/>
        </w:rPr>
        <w:t>【可能延伸的思考维度】</w:t>
      </w:r>
    </w:p>
    <w:p>
      <w:pPr>
        <w:numPr>
          <w:ilvl w:val="0"/>
          <w:numId w:val="9"/>
        </w:numPr>
        <w:spacing w:before="0" w:after="0"/>
        <w:jc w:val="left"/>
      </w:pPr>
      <w:r>
        <w:rPr>
          <w:rFonts w:ascii="Times New Roman" w:hAnsi="Times New Roman"/>
          <w:b w:val="false"/>
          <w:i w:val="false"/>
          <w:color w:val="000000"/>
          <w:sz w:val="22"/>
        </w:rPr>
        <w:t>在不披露敏感合作信息前提下，建议公司增加对重组交易条款与现金回笼用途的量化披露计划。</w:t>
      </w:r>
    </w:p>
    <w:p>
      <w:pPr>
        <w:numPr>
          <w:ilvl w:val="0"/>
          <w:numId w:val="9"/>
        </w:numPr>
        <w:spacing w:before="0" w:after="0"/>
        <w:jc w:val="left"/>
      </w:pPr>
      <w:r>
        <w:rPr>
          <w:rFonts w:ascii="Times New Roman" w:hAnsi="Times New Roman"/>
          <w:b w:val="false"/>
          <w:i w:val="false"/>
          <w:color w:val="000000"/>
          <w:sz w:val="22"/>
        </w:rPr>
        <w:t>构建“订货会—发货—回款”多指标月度跟踪框架，验证订单转化率与现金流改善节奏。</w:t>
      </w:r>
    </w:p>
    <w:p>
      <w:pPr>
        <w:numPr>
          <w:ilvl w:val="0"/>
          <w:numId w:val="9"/>
        </w:numPr>
        <w:spacing w:before="0" w:after="0"/>
        <w:jc w:val="left"/>
      </w:pPr>
      <w:r>
        <w:rPr>
          <w:rFonts w:ascii="Times New Roman" w:hAnsi="Times New Roman"/>
          <w:b w:val="false"/>
          <w:i w:val="false"/>
          <w:color w:val="000000"/>
          <w:sz w:val="22"/>
        </w:rPr>
        <w:t>针对团购/制服赛道，梳理招标日历与潜在客户池，建立订单前瞻线索库并量化转化概率。</w:t>
      </w:r>
    </w:p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xvml="urn:schemas-microsoft-com:office:excel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abstractNum w:abstractNumId="1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2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3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4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5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6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7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8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9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xvml="urn:schemas-microsoft-com:office:excel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xvml="urn:schemas-microsoft-com:office:excel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numbering.xml" Type="http://schemas.openxmlformats.org/officeDocument/2006/relationships/numbering" Id="rId3"/>
</Relationships>
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