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Manulife CQS Raises $1.1 Billion for Synthetic-Risk Transfers</w:t>
      </w:r>
    </w:p>
    <w:p/>
    <w:p>
      <w:r>
        <w:t>Manulife ’s credit arm CQS Investment Management has raised $1.1 billion to invest in synthetic-risk transfers, according to a statement, the latest example of private credit funds drumming up cash to tap into banks’ assets.</w:t>
        <w:br/>
        <w:br/>
        <w:t>The money is for its Manulife CQS Regulatory Capital Relief III Fund as well as some separately managed accounts, according to a statement. Manulife CQS has been investing, since 2014, in regulatory capital relief trades, also sometimes known as synthetic or significant risk transfers.</w:t>
        <w:br/>
        <w:br/>
        <w:t>Banks, subject to strict capital rules, frequently adjust their balance sheets by either selling assets or creating instruments known as synthetic-risk transfers . SRTs let banks share risk with outside investors while keeping assets on their balance sheets. The value of banks’ synthetic securitizations has reached $673 billion , expanding at a double-digit pace as lenders race to offload risk and free up capital.</w:t>
        <w:br/>
        <w:br/>
        <w:t>Private capital fund managers have collectively raised billions to buy these deals in the US and Europe. Last year AXA IM Alts raised $2.5 billion to invest in SRTs, while UBS Group AG’s asset management unit is working on a new fund that will invest in SRTs and could include deals issued by the Swiss lender.</w:t>
        <w:br/>
        <w:br/>
        <w:t>MCQS said it’s now accelerating plans to launch a fourth version of the fund, which will also focus on SRTs. Its SRT strategy sits within its structured credit business.</w:t>
        <w:br/>
        <w:br/>
        <w:t>MCQS had $18.5 billion as of the end of September, according to its website. Canada-based Manulife, an insurance provider as well as an asset manager, acquired CQS in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