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Neuberger Berman Raises $7.3 Billion for Private Credit Fund</w:t>
      </w:r>
    </w:p>
    <w:p/>
    <w:p>
      <w:r>
        <w:t>Neuberger Berman raised $7.3 billion for the first close of its fifth private credit fund, according to an emailed statement.</w:t>
        <w:br/>
        <w:br/>
        <w:t>The fund will invest in senior secured, first-lien unitranche loans to companies backed by private equity across North America, South America, Europe, the Middle East and Asia. The raise for NB Private Debt V is inclusive of leverage, Neuberger said in the statement.</w:t>
        <w:br/>
        <w:br/>
        <w:t>Neuberger pulled Bloomberg Terminal in $8.1 billion for its fourth vehicle dedicated to the strategy in 2022, far more than its initial $5 billion target. Neuberger’s private debt business manages $24.3 billion across all strategies.</w:t>
        <w:br/>
        <w:br/>
        <w:t>“Our private markets platform is built to support the private equity ecosystem — not compete with it,” Anthony Tutrone, head of Neuberger Berman Alternatives, said in the statement.</w:t>
        <w:br/>
        <w:br/>
        <w:t>Credit drove most fundraising efforts for the biggest publicly traded alternative asset managers in the third quarter as pension funds and insurers continue to look for stable, higher-yielding investments.</w:t>
        <w:br/>
        <w:br/>
        <w:t>Six of the big private-asset firms — Blackstone Inc. , Brookfield Asset Management , Apollo Global Management Inc. , KKR &amp; Co. and Carlyle Group Inc. — raised $257 billion in the quarter, with almost 60% of that dedicated to credit.</w:t>
        <w:br/>
        <w:br/>
        <w:t>Read More: Credit Fueled Most of Alternative Asset Firms’ $257 Billion Haul</w:t>
        <w:br/>
        <w:br/>
        <w:t>However, institutional fundraising in private credit has plateaued over the past year, as some investors have hit their allocations. Many alternative asset managers are now courting insurance and retail investors to boost their capital pools.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