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Nuclear Startup Fermi Invokes Manhattan Project in AI Race</w:t>
      </w:r>
    </w:p>
    <w:p/>
    <w:p>
      <w:r>
        <w:t>US efforts to develop artificial intelligence systems and the nuclear-energy infrastructure needed to power them are comparable to the World War II initiative to build the first atomic bomb, according to Fermi Inc. , a power-plant developer planning a massive data-center campus in Texas.</w:t>
        <w:br/>
        <w:br/>
        <w:t>“Make no mistake, America is at war,” Fermi wrote in a letter to shareholders Monday as it reported its first quarterly earnings since the company’s initial public offering six weeks ago.</w:t>
        <w:br/>
        <w:br/>
        <w:t>The rhetoric from Fermi, who’s co-founders include former US Energy Secretary Rick Perry, underscores the bold ambitions surrounding AI and the scale of the challenge in powering the data centers being planned or built across the US. Fermi’s Matador project in the Texas Panhandle is envisaged as eventually comprising four large nuclear reactors, although they won’t be complete until the 2030s, and the company is currently working to install natural gas turbines at the site.</w:t>
        <w:br/>
        <w:br/>
        <w:t>The letter also focuses on the race between China and the US to develop AI technology. The US is lagging behind, according to Fermi, because China is developing 33 nuclear reactors and the US has no commercial atomic projects under construction.</w:t>
        <w:br/>
        <w:br/>
        <w:t>“We are humbled to partner with you on the Manhattan Project of our generation,” Fermi said. “Together, we are answering the call to defend our country and Western Civilization against the national security threat of our time.”</w:t>
        <w:br/>
        <w:br/>
        <w:t>The shareholder letter “reads more like a Francis Ford Coppola script (we had images of the helicopter scene in ‘Apocalypse Now‘ running through our heads) than a mid-cap earnings update,” Timm Schneider, an energy analyst and founder of The Schneider Capital Group, said in a note.</w:t>
        <w:br/>
        <w:br/>
        <w:t>Fermi, which has no revenue, posted a net loss of $353.2 million for the year through Sept. 30, and has cash and cash equivalents of $183 million. The company has a market capitalization of about $15 billion.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