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3.9 (Apache licensed) using REFERENCE JAXB in Oracle Java 1.8.0_321 on Linux -->
    <w:p>
      <w:pPr>
        <w:spacing w:before="300" w:after="300"/>
        <w:ind w:left="120"/>
        <w:jc w:val="center"/>
      </w:pPr>
      <w:r>
        <w:rPr>
          <w:rFonts w:ascii="Times New Roman" w:hAnsi="Times New Roman"/>
          <w:b/>
          <w:i w:val="false"/>
          <w:color w:val="000000"/>
          <w:sz w:val="30"/>
        </w:rPr>
        <w:t xml:space="preserve"> 你是一位专业的股票研究员，你目前的主要工... 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结论速览</w:t>
      </w:r>
    </w:p>
    <w:p>
      <w:pPr>
        <w:numPr>
          <w:ilvl w:val="0"/>
          <w:numId w:val="1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道明光学2025H1实现营业收入7.34亿元、归母净利润1.14亿元，分别同比+9.97%、+21.88%，主业反光材料稳健、海外放量与毛利率抬升，新材料（石墨烯膜）与车载光学膜进入验证与爬坡期，有望成为新增量来源；2025Q3单季继续维持收入与利润双增态势，基本盘稳固。</w:t>
      </w:r>
    </w:p>
    <w:p>
      <w:pPr>
        <w:numPr>
          <w:ilvl w:val="0"/>
          <w:numId w:val="1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行业层面：光学膜产业2018-2023年合计营收CAGR约10.8%；2023年需求与价格承压，2024Q1收入同比回升；膜料价格处近三年底部并企稳。反光材料全球市场预计2024-2031年CAGR约4.2%，国产替代与海外拓展构成公司中期增长逻辑。</w:t>
      </w:r>
    </w:p>
    <w:p>
      <w:pPr>
        <w:numPr>
          <w:ilvl w:val="0"/>
          <w:numId w:val="1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一致预期：公司2025/2026年EPS约0.33/0.37元、归母净利约2.06/2.31-2.32亿元，对应PE约25.15倍（2025E）/22.46倍（2026E）与另一组口径29.90倍（2025E）/26.59倍（2026E），需以最新口径跟踪验证。</w:t>
      </w:r>
    </w:p>
    <w:p>
      <w:pPr>
        <w:spacing w:before="269" w:after="269"/>
        <w:ind w:left="120"/>
        <w:jc w:val="left"/>
      </w:pPr>
      <w:r>
        <w:drawing>
          <wp:inline distT="0" distB="0" distL="0" distR="0">
            <wp:extent cx="4772025" cy="3228975"/>
            <wp:effectExtent l="0" t="0" r="0" b="0"/>
            <wp:docPr id="2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1. 行业数据与增速（含海外出口）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光学膜行业（口径：选取12家样本）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：2018-2023年合计营业收入CAGR达</w:t>
      </w:r>
      <w:r>
        <w:rPr>
          <w:rFonts w:ascii="Times New Roman" w:hAnsi="Times New Roman"/>
          <w:b/>
          <w:i w:val="false"/>
          <w:color w:val="000000"/>
          <w:sz w:val="22"/>
        </w:rPr>
        <w:t>10.8%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。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2023年：合计营收</w:t>
      </w:r>
      <w:r>
        <w:rPr>
          <w:rFonts w:ascii="Times New Roman" w:hAnsi="Times New Roman"/>
          <w:b/>
          <w:i w:val="false"/>
          <w:color w:val="000000"/>
          <w:sz w:val="22"/>
        </w:rPr>
        <w:t>210.1亿元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（同比-1.6%），合计扣非归母净利润</w:t>
      </w:r>
      <w:r>
        <w:rPr>
          <w:rFonts w:ascii="Times New Roman" w:hAnsi="Times New Roman"/>
          <w:b/>
          <w:i w:val="false"/>
          <w:color w:val="000000"/>
          <w:sz w:val="22"/>
        </w:rPr>
        <w:t>3.4亿元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（同比-76.7%），毛利率</w:t>
      </w:r>
      <w:r>
        <w:rPr>
          <w:rFonts w:ascii="Times New Roman" w:hAnsi="Times New Roman"/>
          <w:b/>
          <w:i w:val="false"/>
          <w:color w:val="000000"/>
          <w:sz w:val="22"/>
        </w:rPr>
        <w:t>16.4%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（同比-4.1pct）。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2024Q1：合计营收</w:t>
      </w:r>
      <w:r>
        <w:rPr>
          <w:rFonts w:ascii="Times New Roman" w:hAnsi="Times New Roman"/>
          <w:b/>
          <w:i w:val="false"/>
          <w:color w:val="000000"/>
          <w:sz w:val="22"/>
        </w:rPr>
        <w:t>52.4亿元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（同比+10.9%）；单季毛利率</w:t>
      </w:r>
      <w:r>
        <w:rPr>
          <w:rFonts w:ascii="Times New Roman" w:hAnsi="Times New Roman"/>
          <w:b/>
          <w:i w:val="false"/>
          <w:color w:val="000000"/>
          <w:sz w:val="22"/>
        </w:rPr>
        <w:t>12.9%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（同比-3.4pct），利润波动较大（-0.2亿元）。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膜料价格与盈利周期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：截至2024-09-11，BOPET(12μ)市场价</w:t>
      </w:r>
      <w:r>
        <w:rPr>
          <w:rFonts w:ascii="Times New Roman" w:hAnsi="Times New Roman"/>
          <w:b/>
          <w:i w:val="false"/>
          <w:color w:val="000000"/>
          <w:sz w:val="22"/>
        </w:rPr>
        <w:t>8150元/吨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（同比-0.6%），BOPP厚光膜低端价</w:t>
      </w:r>
      <w:r>
        <w:rPr>
          <w:rFonts w:ascii="Times New Roman" w:hAnsi="Times New Roman"/>
          <w:b/>
          <w:i w:val="false"/>
          <w:color w:val="000000"/>
          <w:sz w:val="22"/>
        </w:rPr>
        <w:t>8500元/吨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（同比-5.6%），处近三年底部区间，价格逐步企稳；2024H1/2024Q2行业“膜料价格低+需求弱”，盈利承压。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反光材料市场容量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：全球反光材料市场销售额预计2024年</w:t>
      </w:r>
      <w:r>
        <w:rPr>
          <w:rFonts w:ascii="Times New Roman" w:hAnsi="Times New Roman"/>
          <w:b/>
          <w:i w:val="false"/>
          <w:color w:val="000000"/>
          <w:sz w:val="22"/>
        </w:rPr>
        <w:t>47.21亿美元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，2031年</w:t>
      </w:r>
      <w:r>
        <w:rPr>
          <w:rFonts w:ascii="Times New Roman" w:hAnsi="Times New Roman"/>
          <w:b/>
          <w:i w:val="false"/>
          <w:color w:val="000000"/>
          <w:sz w:val="22"/>
        </w:rPr>
        <w:t>62.72亿美元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，2025-2031年CAGR约</w:t>
      </w:r>
      <w:r>
        <w:rPr>
          <w:rFonts w:ascii="Times New Roman" w:hAnsi="Times New Roman"/>
          <w:b/>
          <w:i w:val="false"/>
          <w:color w:val="000000"/>
          <w:sz w:val="22"/>
        </w:rPr>
        <w:t>4.2%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。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公司维度（收入/利润同比）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2025H1公司营业收入</w:t>
      </w:r>
      <w:r>
        <w:rPr>
          <w:rFonts w:ascii="Times New Roman" w:hAnsi="Times New Roman"/>
          <w:b/>
          <w:i w:val="false"/>
          <w:color w:val="000000"/>
          <w:sz w:val="22"/>
        </w:rPr>
        <w:t>7.34亿元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（同比+9.97%）；归母净利润</w:t>
      </w:r>
      <w:r>
        <w:rPr>
          <w:rFonts w:ascii="Times New Roman" w:hAnsi="Times New Roman"/>
          <w:b/>
          <w:i w:val="false"/>
          <w:color w:val="000000"/>
          <w:sz w:val="22"/>
        </w:rPr>
        <w:t>1.14亿元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（同比+21.88%）。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单季同比：2025Q3营业收入同比**+7.2397%</w:t>
      </w:r>
      <w:r>
        <w:rPr>
          <w:rFonts w:ascii="Times New Roman" w:hAnsi="Times New Roman"/>
          <w:b/>
          <w:i w:val="false"/>
          <w:color w:val="000000"/>
          <w:sz w:val="22"/>
        </w:rPr>
        <w:t>；归母净利润同比</w:t>
      </w:r>
      <w:r>
        <w:rPr>
          <w:rFonts w:ascii="Times New Roman" w:hAnsi="Times New Roman"/>
          <w:b w:val="false"/>
          <w:i w:val="false"/>
          <w:color w:val="000000"/>
          <w:sz w:val="22"/>
        </w:rPr>
        <w:t>+24.6935%**。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公司海外业务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：2025H1反光材料板块海外收入同比**+17.19%</w:t>
      </w:r>
      <w:r>
        <w:rPr>
          <w:rFonts w:ascii="Times New Roman" w:hAnsi="Times New Roman"/>
          <w:b/>
          <w:i w:val="false"/>
          <w:color w:val="000000"/>
          <w:sz w:val="22"/>
        </w:rPr>
        <w:t>、毛利率提升</w:t>
      </w:r>
      <w:r>
        <w:rPr>
          <w:rFonts w:ascii="Times New Roman" w:hAnsi="Times New Roman"/>
          <w:b w:val="false"/>
          <w:i w:val="false"/>
          <w:color w:val="000000"/>
          <w:sz w:val="22"/>
        </w:rPr>
        <w:t>+7.76pct</w:t>
      </w:r>
      <w:r>
        <w:rPr>
          <w:rFonts w:ascii="Times New Roman" w:hAnsi="Times New Roman"/>
          <w:b/>
          <w:i w:val="false"/>
          <w:color w:val="000000"/>
          <w:sz w:val="22"/>
        </w:rPr>
        <w:t>至</w:t>
      </w:r>
      <w:r>
        <w:rPr>
          <w:rFonts w:ascii="Times New Roman" w:hAnsi="Times New Roman"/>
          <w:b w:val="false"/>
          <w:i w:val="false"/>
          <w:color w:val="000000"/>
          <w:sz w:val="22"/>
        </w:rPr>
        <w:t>49.57%**，成为板块增长主要动力。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2. 竞争格局与竞争对手（国内/国际、市占变化）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光学膜行业样本企业（12家）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：双星新材、东材科技、激智科技、斯迪克、裕兴股份、晶华新材、道明光学、长阳科技、翔腾新材、日久光电、和顺科技、瑞华泰等，行业呈多点竞争格局与结构性复苏特征。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反光材料高端市场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：国内高端个人防护及道路标志牌领域长期由</w:t>
      </w:r>
      <w:r>
        <w:rPr>
          <w:rFonts w:ascii="Times New Roman" w:hAnsi="Times New Roman"/>
          <w:b/>
          <w:i w:val="false"/>
          <w:color w:val="000000"/>
          <w:sz w:val="22"/>
        </w:rPr>
        <w:t>3M</w:t>
      </w:r>
      <w:r>
        <w:rPr>
          <w:rFonts w:ascii="Times New Roman" w:hAnsi="Times New Roman"/>
          <w:b w:val="false"/>
          <w:i w:val="false"/>
          <w:color w:val="000000"/>
          <w:sz w:val="22"/>
        </w:rPr>
        <w:t>等海外巨头主导；国内企业近年加速抢占高端份额，但整体合计市占仍</w:t>
      </w:r>
      <w:r>
        <w:rPr>
          <w:rFonts w:ascii="Times New Roman" w:hAnsi="Times New Roman"/>
          <w:b/>
          <w:i w:val="false"/>
          <w:color w:val="000000"/>
          <w:sz w:val="22"/>
        </w:rPr>
        <w:t>不到10%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（以2023年公开数据口径）。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公司在行车安全（车牌膜）领域的份额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：道明光学与常州一家企业自2017年进入后，合计份额约</w:t>
      </w:r>
      <w:r>
        <w:rPr>
          <w:rFonts w:ascii="Times New Roman" w:hAnsi="Times New Roman"/>
          <w:b/>
          <w:i w:val="false"/>
          <w:color w:val="000000"/>
          <w:sz w:val="22"/>
        </w:rPr>
        <w:t>70%-80%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；其中道明光学自身已占</w:t>
      </w:r>
      <w:r>
        <w:rPr>
          <w:rFonts w:ascii="Times New Roman" w:hAnsi="Times New Roman"/>
          <w:b/>
          <w:i w:val="false"/>
          <w:color w:val="000000"/>
          <w:sz w:val="22"/>
        </w:rPr>
        <w:t>40%+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，国内车牌膜实现国产替代的核心供给。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道路安防（高速公路）技术突破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：公司为国内</w:t>
      </w:r>
      <w:r>
        <w:rPr>
          <w:rFonts w:ascii="Times New Roman" w:hAnsi="Times New Roman"/>
          <w:b/>
          <w:i w:val="false"/>
          <w:color w:val="000000"/>
          <w:sz w:val="22"/>
        </w:rPr>
        <w:t>唯一</w:t>
      </w:r>
      <w:r>
        <w:rPr>
          <w:rFonts w:ascii="Times New Roman" w:hAnsi="Times New Roman"/>
          <w:b w:val="false"/>
          <w:i w:val="false"/>
          <w:color w:val="000000"/>
          <w:sz w:val="22"/>
        </w:rPr>
        <w:t>突破“高速公路冷静技术”的本土企业，高端微棱镜型反光材料掌握全套工艺与量产能力。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国内竞争对手示例（相邻赛道）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：水晶光电在薄膜光学、AR+车载、反光材料均有布局，反光材料2024年营收</w:t>
      </w:r>
      <w:r>
        <w:rPr>
          <w:rFonts w:ascii="Times New Roman" w:hAnsi="Times New Roman"/>
          <w:b/>
          <w:i w:val="false"/>
          <w:color w:val="000000"/>
          <w:sz w:val="22"/>
        </w:rPr>
        <w:t>3.94亿元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（占比6.27%），体现多元业务竞合；公司夜视丽新材料负责反光材料生产与销售，构成国内分工协同与竞争。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国际竞争对手示例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：日本NCI在部分反光细分市场参与竞争；高端领域由3M等巨头把持，认证与服务壁垒较高。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3. 供需、产能与价格趋势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光学膜供需与价格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：2024H1/2024Q2行业盈利承压，膜料价格处底部企稳，供给端扩产放缓、下游需求逐步复苏带来边际改善；预计随中高端国产替代推进、需求结构优化，价格中枢有望温和修复。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反光材料供需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：全球市场温和增长（2025-2031年CAGR约4.2%），国内“人-车-路”多场景推进，叠加海外生产/销售网络与本地化服务，供给结构向本土头部集中，有利于议价与盈利质量。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公司产能与投放节奏（关键高端）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：年产2000万㎡微棱镜型反光膜项目预计</w:t>
      </w:r>
      <w:r>
        <w:rPr>
          <w:rFonts w:ascii="Times New Roman" w:hAnsi="Times New Roman"/>
          <w:b/>
          <w:i w:val="false"/>
          <w:color w:val="000000"/>
          <w:sz w:val="22"/>
        </w:rPr>
        <w:t>2025年投产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，配合越南基地满产与海外订单拓展，支撑中高端替代加速与海外占比提升。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价格趋势判断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：光学膜价格处底部企稳区间（BOPET/BOPP数据）；反光材料中高端产品随国产替代提升与海外增量，单位产品盈利结构有望改善，海外业务毛利率已显著抬升（49.57%）。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4. 未来行业发展的核心逻辑</w:t>
      </w:r>
    </w:p>
    <w:p>
      <w:pPr>
        <w:numPr>
          <w:ilvl w:val="0"/>
          <w:numId w:val="5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国产替代提速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：微棱镜型高端反光膜实现量产与性能对标海外巨头，交通安防与个人防护高端应用加速替换，国内市占率向头部集中。</w:t>
      </w:r>
    </w:p>
    <w:p>
      <w:pPr>
        <w:numPr>
          <w:ilvl w:val="0"/>
          <w:numId w:val="5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大屏与车载显示渗透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：家电“以旧换新”与电视大尺寸化拉动增光膜、复合膜需求，车载偏光/增亮膜验证推进，车载显示成为新增量方向。</w:t>
      </w:r>
    </w:p>
    <w:p>
      <w:pPr>
        <w:numPr>
          <w:ilvl w:val="0"/>
          <w:numId w:val="5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AI/智能硬件热管理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：消费电子算力与发热需求提升，石墨烯导热膜凭借高热通量与柔韧性（折叠/曲面）切入游戏手机、折叠屏、可穿戴与液冷服务器/AI眼镜等应用，正处拐点前夜的验证-小批量阶段。</w:t>
      </w:r>
    </w:p>
    <w:p>
      <w:pPr>
        <w:numPr>
          <w:ilvl w:val="0"/>
          <w:numId w:val="5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海外本地化与“一带一路”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：海外子公司辐射周边市场，叠加定制化产品与服务、认证周期缩短，持续提升海外份额与盈利。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5. 公司最新业绩与分业务线增长、管理层预期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最新业绩快照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2025H1：营业收入</w:t>
      </w:r>
      <w:r>
        <w:rPr>
          <w:rFonts w:ascii="Times New Roman" w:hAnsi="Times New Roman"/>
          <w:b/>
          <w:i w:val="false"/>
          <w:color w:val="000000"/>
          <w:sz w:val="22"/>
        </w:rPr>
        <w:t>7.336亿元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（同比+9.97%）；归母净利润</w:t>
      </w:r>
      <w:r>
        <w:rPr>
          <w:rFonts w:ascii="Times New Roman" w:hAnsi="Times New Roman"/>
          <w:b/>
          <w:i w:val="false"/>
          <w:color w:val="000000"/>
          <w:sz w:val="22"/>
        </w:rPr>
        <w:t>1.140亿元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（同比+21.88%）。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2025Q3：营业收入同比**+7.2397%</w:t>
      </w:r>
      <w:r>
        <w:rPr>
          <w:rFonts w:ascii="Times New Roman" w:hAnsi="Times New Roman"/>
          <w:b/>
          <w:i w:val="false"/>
          <w:color w:val="000000"/>
          <w:sz w:val="22"/>
        </w:rPr>
        <w:t>；归母净利润同比</w:t>
      </w:r>
      <w:r>
        <w:rPr>
          <w:rFonts w:ascii="Times New Roman" w:hAnsi="Times New Roman"/>
          <w:b w:val="false"/>
          <w:i w:val="false"/>
          <w:color w:val="000000"/>
          <w:sz w:val="22"/>
        </w:rPr>
        <w:t>+24.6935%</w:t>
      </w:r>
      <w:r>
        <w:rPr>
          <w:rFonts w:ascii="Times New Roman" w:hAnsi="Times New Roman"/>
          <w:b/>
          <w:i w:val="false"/>
          <w:color w:val="000000"/>
          <w:sz w:val="22"/>
        </w:rPr>
        <w:t>（单季值约</w:t>
      </w:r>
      <w:r>
        <w:rPr>
          <w:rFonts w:ascii="Times New Roman" w:hAnsi="Times New Roman"/>
          <w:b w:val="false"/>
          <w:i w:val="false"/>
          <w:color w:val="000000"/>
          <w:sz w:val="22"/>
        </w:rPr>
        <w:t>6550.36万元**）。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分业务线（2025H1）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反光材料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：收入</w:t>
      </w:r>
      <w:r>
        <w:rPr>
          <w:rFonts w:ascii="Times New Roman" w:hAnsi="Times New Roman"/>
          <w:b/>
          <w:i w:val="false"/>
          <w:color w:val="000000"/>
          <w:sz w:val="22"/>
        </w:rPr>
        <w:t>5.155亿元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（同比+5.70%），毛利率</w:t>
      </w:r>
      <w:r>
        <w:rPr>
          <w:rFonts w:ascii="Times New Roman" w:hAnsi="Times New Roman"/>
          <w:b/>
          <w:i w:val="false"/>
          <w:color w:val="000000"/>
          <w:sz w:val="22"/>
        </w:rPr>
        <w:t>44.75%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；海外收入同比**+17.19%</w:t>
      </w:r>
      <w:r>
        <w:rPr>
          <w:rFonts w:ascii="Times New Roman" w:hAnsi="Times New Roman"/>
          <w:b/>
          <w:i w:val="false"/>
          <w:color w:val="000000"/>
          <w:sz w:val="22"/>
        </w:rPr>
        <w:t>，海外毛利率</w:t>
      </w:r>
      <w:r>
        <w:rPr>
          <w:rFonts w:ascii="Times New Roman" w:hAnsi="Times New Roman"/>
          <w:b w:val="false"/>
          <w:i w:val="false"/>
          <w:color w:val="000000"/>
          <w:sz w:val="22"/>
        </w:rPr>
        <w:t>49.57%**（+7.76pct）。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简单测算：对应毛利约</w:t>
      </w:r>
      <w:r>
        <w:rPr>
          <w:rFonts w:ascii="Times New Roman" w:hAnsi="Times New Roman"/>
          <w:b/>
          <w:i w:val="false"/>
          <w:color w:val="000000"/>
          <w:sz w:val="22"/>
        </w:rPr>
        <w:t>2.31亿元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（5.155亿元×44.75%），显示基本盘盈利能力强、海外结构改善贡献显著。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光学显示材料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：收入</w:t>
      </w:r>
      <w:r>
        <w:rPr>
          <w:rFonts w:ascii="Times New Roman" w:hAnsi="Times New Roman"/>
          <w:b/>
          <w:i w:val="false"/>
          <w:color w:val="000000"/>
          <w:sz w:val="22"/>
        </w:rPr>
        <w:t>1.287亿元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（同比+14.13%）；受家电“以旧换新”、电视大尺寸化带动增光膜、复合膜需求。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电子功能材料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：收入</w:t>
      </w:r>
      <w:r>
        <w:rPr>
          <w:rFonts w:ascii="Times New Roman" w:hAnsi="Times New Roman"/>
          <w:b/>
          <w:i w:val="false"/>
          <w:color w:val="000000"/>
          <w:sz w:val="22"/>
        </w:rPr>
        <w:t>0.77亿元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（同比+25.86%），板块增速最快，石墨烯导热膜处于验证与导入阶段。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新材料业务关键进展与指引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石墨烯导热膜已为红魔系列等多款消费电子供货，并</w:t>
      </w:r>
      <w:r>
        <w:rPr>
          <w:rFonts w:ascii="Times New Roman" w:hAnsi="Times New Roman"/>
          <w:b/>
          <w:i w:val="false"/>
          <w:color w:val="000000"/>
          <w:sz w:val="22"/>
        </w:rPr>
        <w:t>中标荣耀小折叠手机项目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；正在开拓液冷服务器、AI眼镜等热管理应用，样品已通过客户测试、量产方案规划中，预计</w:t>
      </w:r>
      <w:r>
        <w:rPr>
          <w:rFonts w:ascii="Times New Roman" w:hAnsi="Times New Roman"/>
          <w:b/>
          <w:i w:val="false"/>
          <w:color w:val="000000"/>
          <w:sz w:val="22"/>
        </w:rPr>
        <w:t>2025年下半年小批量量产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，处产能爬坡期。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车载偏光反射膜已在江淮汽车</w:t>
      </w:r>
      <w:r>
        <w:rPr>
          <w:rFonts w:ascii="Times New Roman" w:hAnsi="Times New Roman"/>
          <w:b/>
          <w:i w:val="false"/>
          <w:color w:val="000000"/>
          <w:sz w:val="22"/>
        </w:rPr>
        <w:t>小批量使用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，预计</w:t>
      </w:r>
      <w:r>
        <w:rPr>
          <w:rFonts w:ascii="Times New Roman" w:hAnsi="Times New Roman"/>
          <w:b/>
          <w:i w:val="false"/>
          <w:color w:val="000000"/>
          <w:sz w:val="22"/>
        </w:rPr>
        <w:t>2025年下半年</w:t>
      </w:r>
      <w:r>
        <w:rPr>
          <w:rFonts w:ascii="Times New Roman" w:hAnsi="Times New Roman"/>
          <w:b w:val="false"/>
          <w:i w:val="false"/>
          <w:color w:val="000000"/>
          <w:sz w:val="22"/>
        </w:rPr>
        <w:t>逐步放量，贡献新的利润增长点。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管理层经营计划（研院与产品线）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：杭州研究院聚焦</w:t>
      </w:r>
      <w:r>
        <w:rPr>
          <w:rFonts w:ascii="Times New Roman" w:hAnsi="Times New Roman"/>
          <w:b/>
          <w:i w:val="false"/>
          <w:color w:val="000000"/>
          <w:sz w:val="22"/>
        </w:rPr>
        <w:t>HUD抬头显示曲面镜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、</w:t>
      </w:r>
      <w:r>
        <w:rPr>
          <w:rFonts w:ascii="Times New Roman" w:hAnsi="Times New Roman"/>
          <w:b/>
          <w:i w:val="false"/>
          <w:color w:val="000000"/>
          <w:sz w:val="22"/>
        </w:rPr>
        <w:t>激光雷达透镜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、</w:t>
      </w:r>
      <w:r>
        <w:rPr>
          <w:rFonts w:ascii="Times New Roman" w:hAnsi="Times New Roman"/>
          <w:b/>
          <w:i w:val="false"/>
          <w:color w:val="000000"/>
          <w:sz w:val="22"/>
        </w:rPr>
        <w:t>智能座舱照明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、</w:t>
      </w:r>
      <w:r>
        <w:rPr>
          <w:rFonts w:ascii="Times New Roman" w:hAnsi="Times New Roman"/>
          <w:b/>
          <w:i w:val="false"/>
          <w:color w:val="000000"/>
          <w:sz w:val="22"/>
        </w:rPr>
        <w:t>AR/VR微纳转印镜片</w:t>
      </w:r>
      <w:r>
        <w:rPr>
          <w:rFonts w:ascii="Times New Roman" w:hAnsi="Times New Roman"/>
          <w:b w:val="false"/>
          <w:i w:val="false"/>
          <w:color w:val="000000"/>
          <w:sz w:val="22"/>
        </w:rPr>
        <w:t>与</w:t>
      </w:r>
      <w:r>
        <w:rPr>
          <w:rFonts w:ascii="Times New Roman" w:hAnsi="Times New Roman"/>
          <w:b/>
          <w:i w:val="false"/>
          <w:color w:val="000000"/>
          <w:sz w:val="22"/>
        </w:rPr>
        <w:t>裸眼3D器件</w:t>
      </w:r>
      <w:r>
        <w:rPr>
          <w:rFonts w:ascii="Times New Roman" w:hAnsi="Times New Roman"/>
          <w:b w:val="false"/>
          <w:i w:val="false"/>
          <w:color w:val="000000"/>
          <w:sz w:val="22"/>
        </w:rPr>
        <w:t>等，围绕车载与新型显示的关键光学元件布局，夯实先导技术与产业化落地。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分业务线单位产品盈利变化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：海外反光材料毛利率显著抬升至</w:t>
      </w:r>
      <w:r>
        <w:rPr>
          <w:rFonts w:ascii="Times New Roman" w:hAnsi="Times New Roman"/>
          <w:b/>
          <w:i w:val="false"/>
          <w:color w:val="000000"/>
          <w:sz w:val="22"/>
        </w:rPr>
        <w:t>49.57%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（+7.76pct），显示结构与区域构成优化；光学膜板块伴随产品结构与应用拓展（车载），盈利弹性改善；石墨烯膜处验证-小批量阶段，随着高热通量与柔韧性方案落地，预计边际盈利优化。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6. 同类公司对比与竞争位置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水晶光电（相邻赛道对比）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：2024-2026年“薄膜光学面板/汽车电子（AR+）/反光材料”收入预计分别为</w:t>
      </w:r>
      <w:r>
        <w:rPr>
          <w:rFonts w:ascii="Times New Roman" w:hAnsi="Times New Roman"/>
          <w:b/>
          <w:i w:val="false"/>
          <w:color w:val="000000"/>
          <w:sz w:val="22"/>
        </w:rPr>
        <w:t>21.7/22.28/22.88亿元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、</w:t>
      </w:r>
      <w:r>
        <w:rPr>
          <w:rFonts w:ascii="Times New Roman" w:hAnsi="Times New Roman"/>
          <w:b/>
          <w:i w:val="false"/>
          <w:color w:val="000000"/>
          <w:sz w:val="22"/>
        </w:rPr>
        <w:t>4.37/6.28/11.16亿元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、</w:t>
      </w:r>
      <w:r>
        <w:rPr>
          <w:rFonts w:ascii="Times New Roman" w:hAnsi="Times New Roman"/>
          <w:b/>
          <w:i w:val="false"/>
          <w:color w:val="000000"/>
          <w:sz w:val="22"/>
        </w:rPr>
        <w:t>3.02/3.18/3.35亿元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；反光材料板块体量更大但为多业务之一，短期毛利率受搬厂/扩产影响后逐步修复，AR+海外拓展改善盈利。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东材科技（光学膜/电子材料相邻对比）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：2024年公司总营收</w:t>
      </w:r>
      <w:r>
        <w:rPr>
          <w:rFonts w:ascii="Times New Roman" w:hAnsi="Times New Roman"/>
          <w:b/>
          <w:i w:val="false"/>
          <w:color w:val="000000"/>
          <w:sz w:val="22"/>
        </w:rPr>
        <w:t>44.70亿元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（同比+19.60%）；光学膜材料收入</w:t>
      </w:r>
      <w:r>
        <w:rPr>
          <w:rFonts w:ascii="Times New Roman" w:hAnsi="Times New Roman"/>
          <w:b/>
          <w:i w:val="false"/>
          <w:color w:val="000000"/>
          <w:sz w:val="22"/>
        </w:rPr>
        <w:t>11.3亿元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（同比+17.37%）；2025Q1光学膜材料收入</w:t>
      </w:r>
      <w:r>
        <w:rPr>
          <w:rFonts w:ascii="Times New Roman" w:hAnsi="Times New Roman"/>
          <w:b/>
          <w:i w:val="false"/>
          <w:color w:val="000000"/>
          <w:sz w:val="22"/>
        </w:rPr>
        <w:t>3.00亿元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（同比+43%），显示光学膜链条的规模与景气回升；其电子材料高速电子树脂收入</w:t>
      </w:r>
      <w:r>
        <w:rPr>
          <w:rFonts w:ascii="Times New Roman" w:hAnsi="Times New Roman"/>
          <w:b/>
          <w:i w:val="false"/>
          <w:color w:val="000000"/>
          <w:sz w:val="22"/>
        </w:rPr>
        <w:t>1.12亿元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（同比+129%），体现不同细分的周期开启，便于对标公司“电子功能材料”板块成长节奏。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道明光学定位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：国内反光材料龙头，</w:t>
      </w:r>
      <w:r>
        <w:rPr>
          <w:rFonts w:ascii="Times New Roman" w:hAnsi="Times New Roman"/>
          <w:b/>
          <w:i w:val="false"/>
          <w:color w:val="000000"/>
          <w:sz w:val="22"/>
        </w:rPr>
        <w:t>微棱镜高端量产与高速公路“冷静技术”突破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，行车安全国产替代加速、海外毛利提升显著；光学膜与电子功能材料为两翼，向车载与AI硬件热管理延展，竞争优势在于</w:t>
      </w:r>
      <w:r>
        <w:rPr>
          <w:rFonts w:ascii="Times New Roman" w:hAnsi="Times New Roman"/>
          <w:b/>
          <w:i w:val="false"/>
          <w:color w:val="000000"/>
          <w:sz w:val="22"/>
        </w:rPr>
        <w:t>技术平台同根性（微纳转写/精密涂布复合）+原材料自给一体化能力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。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7. 2025/2026一致预期与估值</w:t>
      </w:r>
    </w:p>
    <w:p>
      <w:pPr>
        <w:numPr>
          <w:ilvl w:val="0"/>
          <w:numId w:val="8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盈利与EPS（多来源口径）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</w:t>
      </w:r>
    </w:p>
    <w:p>
      <w:pPr>
        <w:numPr>
          <w:ilvl w:val="0"/>
          <w:numId w:val="8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2025E/2026E归母净利：</w:t>
      </w:r>
      <w:r>
        <w:rPr>
          <w:rFonts w:ascii="Times New Roman" w:hAnsi="Times New Roman"/>
          <w:b/>
          <w:i w:val="false"/>
          <w:color w:val="000000"/>
          <w:sz w:val="22"/>
        </w:rPr>
        <w:t>2.06/2.31亿元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；EPS：</w:t>
      </w:r>
      <w:r>
        <w:rPr>
          <w:rFonts w:ascii="Times New Roman" w:hAnsi="Times New Roman"/>
          <w:b/>
          <w:i w:val="false"/>
          <w:color w:val="000000"/>
          <w:sz w:val="22"/>
        </w:rPr>
        <w:t>0.33/0.37元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；PE：</w:t>
      </w:r>
      <w:r>
        <w:rPr>
          <w:rFonts w:ascii="Times New Roman" w:hAnsi="Times New Roman"/>
          <w:b/>
          <w:i w:val="false"/>
          <w:color w:val="000000"/>
          <w:sz w:val="22"/>
        </w:rPr>
        <w:t>25.15/22.46倍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（口径一）。</w:t>
      </w:r>
    </w:p>
    <w:p>
      <w:pPr>
        <w:numPr>
          <w:ilvl w:val="0"/>
          <w:numId w:val="8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另一口径：2025E/2026E归母净利：</w:t>
      </w:r>
      <w:r>
        <w:rPr>
          <w:rFonts w:ascii="Times New Roman" w:hAnsi="Times New Roman"/>
          <w:b/>
          <w:i w:val="false"/>
          <w:color w:val="000000"/>
          <w:sz w:val="22"/>
        </w:rPr>
        <w:t>2.06/2.32亿元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；EPS：</w:t>
      </w:r>
      <w:r>
        <w:rPr>
          <w:rFonts w:ascii="Times New Roman" w:hAnsi="Times New Roman"/>
          <w:b/>
          <w:i w:val="false"/>
          <w:color w:val="000000"/>
          <w:sz w:val="22"/>
        </w:rPr>
        <w:t>0.33/0.37元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；PE：</w:t>
      </w:r>
      <w:r>
        <w:rPr>
          <w:rFonts w:ascii="Times New Roman" w:hAnsi="Times New Roman"/>
          <w:b/>
          <w:i w:val="false"/>
          <w:color w:val="000000"/>
          <w:sz w:val="22"/>
        </w:rPr>
        <w:t>29.90/26.59倍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（假设市值与股价口径不同）。</w:t>
      </w:r>
    </w:p>
    <w:p>
      <w:pPr>
        <w:numPr>
          <w:ilvl w:val="0"/>
          <w:numId w:val="8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差异点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：两套口径在PE假设与净利第二位小数存在差异，需结合最新价格与股本更新一致预期；但对EPS与盈利增速的判断保持一致（2025E净利同比+约21%）。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关键数据摘要与对比</w:t>
      </w:r>
    </w:p>
    <w:tbl>
      <w:tblPr>
        <w:tblW w:w="0" w:type="auto"/>
        <w:tblCellSpacing w:w="0" w:type="auto"/>
        <w:tblInd w:w="115" w:type="dxa"/>
        <w:tblBorders>
          <w:top w:val="single" w:color="aaaaaa" w:sz="8"/>
          <w:left w:val="single" w:color="aaaaaa" w:sz="8"/>
          <w:bottom w:val="single" w:color="aaaaaa" w:sz="8"/>
          <w:right w:val="single" w:color="aaaaaa" w:sz="8"/>
          <w:insideH w:val="none"/>
          <w:insideV w:val="none"/>
        </w:tblBorders>
      </w:tblPr>
      <w:tblGrid>
        <w:gridCol w:w="6057"/>
        <w:gridCol w:w="6591"/>
        <w:gridCol w:w="986"/>
      </w:tblGrid>
      <w:tr>
        <w:trPr>
          <w:trHeight w:val="525" w:hRule="atLeast"/>
        </w:trPr>
        <w:tc>
          <w:tcPr>
            <w:tcW w:w="605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要点</w:t>
            </w:r>
          </w:p>
        </w:tc>
        <w:tc>
          <w:tcPr>
            <w:tcW w:w="659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数值/结论</w:t>
            </w:r>
          </w:p>
        </w:tc>
        <w:tc>
          <w:tcPr>
            <w:tcW w:w="986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依据</w:t>
            </w:r>
          </w:p>
        </w:tc>
      </w:tr>
      <w:tr>
        <w:trPr>
          <w:trHeight w:val="525" w:hRule="atLeast"/>
        </w:trPr>
        <w:tc>
          <w:tcPr>
            <w:tcW w:w="605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光学膜行业2018-2023合计营收CAGR</w:t>
            </w:r>
          </w:p>
        </w:tc>
        <w:tc>
          <w:tcPr>
            <w:tcW w:w="659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10.8%</w:t>
            </w:r>
          </w:p>
        </w:tc>
        <w:tc>
          <w:tcPr>
            <w:tcW w:w="986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  <w:tr>
        <w:trPr>
          <w:trHeight w:val="525" w:hRule="atLeast"/>
        </w:trPr>
        <w:tc>
          <w:tcPr>
            <w:tcW w:w="605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光学膜行业2023营收/利润/毛利率</w:t>
            </w:r>
          </w:p>
        </w:tc>
        <w:tc>
          <w:tcPr>
            <w:tcW w:w="659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210.1亿元/-76.7%/16.4%</w:t>
            </w:r>
          </w:p>
        </w:tc>
        <w:tc>
          <w:tcPr>
            <w:tcW w:w="986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  <w:tr>
        <w:trPr>
          <w:trHeight w:val="525" w:hRule="atLeast"/>
        </w:trPr>
        <w:tc>
          <w:tcPr>
            <w:tcW w:w="605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2024Q1光学膜行业营收同比</w:t>
            </w:r>
          </w:p>
        </w:tc>
        <w:tc>
          <w:tcPr>
            <w:tcW w:w="659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+10.9%</w:t>
            </w:r>
          </w:p>
        </w:tc>
        <w:tc>
          <w:tcPr>
            <w:tcW w:w="986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  <w:tr>
        <w:trPr>
          <w:trHeight w:val="525" w:hRule="atLeast"/>
        </w:trPr>
        <w:tc>
          <w:tcPr>
            <w:tcW w:w="605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膜料价格（2024-09-11）</w:t>
            </w:r>
          </w:p>
        </w:tc>
        <w:tc>
          <w:tcPr>
            <w:tcW w:w="659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BOPET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8150元/吨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、BOPP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8500元/吨</w:t>
            </w:r>
          </w:p>
        </w:tc>
        <w:tc>
          <w:tcPr>
            <w:tcW w:w="986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  <w:tr>
        <w:trPr>
          <w:trHeight w:val="525" w:hRule="atLeast"/>
        </w:trPr>
        <w:tc>
          <w:tcPr>
            <w:tcW w:w="605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反光材料全球CAGR（2025-2031）</w:t>
            </w:r>
          </w:p>
        </w:tc>
        <w:tc>
          <w:tcPr>
            <w:tcW w:w="659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4.2%</w:t>
            </w:r>
          </w:p>
        </w:tc>
        <w:tc>
          <w:tcPr>
            <w:tcW w:w="986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  <w:tr>
        <w:trPr>
          <w:trHeight w:val="525" w:hRule="atLeast"/>
        </w:trPr>
        <w:tc>
          <w:tcPr>
            <w:tcW w:w="605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道明2025H1收入/归母净利同比</w:t>
            </w:r>
          </w:p>
        </w:tc>
        <w:tc>
          <w:tcPr>
            <w:tcW w:w="659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+9.97%/+21.88%</w:t>
            </w:r>
          </w:p>
        </w:tc>
        <w:tc>
          <w:tcPr>
            <w:tcW w:w="986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  <w:tr>
        <w:trPr>
          <w:trHeight w:val="525" w:hRule="atLeast"/>
        </w:trPr>
        <w:tc>
          <w:tcPr>
            <w:tcW w:w="605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道明2025Q3收入/归母净利同比</w:t>
            </w:r>
          </w:p>
        </w:tc>
        <w:tc>
          <w:tcPr>
            <w:tcW w:w="659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+7.24%/+24.69%</w:t>
            </w:r>
          </w:p>
        </w:tc>
        <w:tc>
          <w:tcPr>
            <w:tcW w:w="986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  <w:tr>
        <w:trPr>
          <w:trHeight w:val="525" w:hRule="atLeast"/>
        </w:trPr>
        <w:tc>
          <w:tcPr>
            <w:tcW w:w="605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反光材料2025H1收入/毛利率</w:t>
            </w:r>
          </w:p>
        </w:tc>
        <w:tc>
          <w:tcPr>
            <w:tcW w:w="659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5.155亿元/44.75%</w:t>
            </w:r>
          </w:p>
        </w:tc>
        <w:tc>
          <w:tcPr>
            <w:tcW w:w="986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  <w:tr>
        <w:trPr>
          <w:trHeight w:val="525" w:hRule="atLeast"/>
        </w:trPr>
        <w:tc>
          <w:tcPr>
            <w:tcW w:w="605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海外反光2025H1收入/毛利率变化</w:t>
            </w:r>
          </w:p>
        </w:tc>
        <w:tc>
          <w:tcPr>
            <w:tcW w:w="659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+17.19%/49.57%(+7.76pct)</w:t>
            </w:r>
          </w:p>
        </w:tc>
        <w:tc>
          <w:tcPr>
            <w:tcW w:w="986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  <w:tr>
        <w:trPr>
          <w:trHeight w:val="525" w:hRule="atLeast"/>
        </w:trPr>
        <w:tc>
          <w:tcPr>
            <w:tcW w:w="605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光学显示材料2025H1收入同比</w:t>
            </w:r>
          </w:p>
        </w:tc>
        <w:tc>
          <w:tcPr>
            <w:tcW w:w="659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+14.13%</w:t>
            </w:r>
          </w:p>
        </w:tc>
        <w:tc>
          <w:tcPr>
            <w:tcW w:w="986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  <w:tr>
        <w:trPr>
          <w:trHeight w:val="525" w:hRule="atLeast"/>
        </w:trPr>
        <w:tc>
          <w:tcPr>
            <w:tcW w:w="605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电子功能材料2025H1收入同比</w:t>
            </w:r>
          </w:p>
        </w:tc>
        <w:tc>
          <w:tcPr>
            <w:tcW w:w="659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+25.86%</w:t>
            </w:r>
          </w:p>
        </w:tc>
        <w:tc>
          <w:tcPr>
            <w:tcW w:w="986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  <w:tr>
        <w:trPr>
          <w:trHeight w:val="525" w:hRule="atLeast"/>
        </w:trPr>
        <w:tc>
          <w:tcPr>
            <w:tcW w:w="605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石墨烯膜节点</w:t>
            </w:r>
          </w:p>
        </w:tc>
        <w:tc>
          <w:tcPr>
            <w:tcW w:w="659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荣耀小折叠中标、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2025H2小批量量产</w:t>
            </w:r>
          </w:p>
        </w:tc>
        <w:tc>
          <w:tcPr>
            <w:tcW w:w="986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  <w:tr>
        <w:trPr>
          <w:trHeight w:val="525" w:hRule="atLeast"/>
        </w:trPr>
        <w:tc>
          <w:tcPr>
            <w:tcW w:w="605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车载偏光反射膜节点</w:t>
            </w:r>
          </w:p>
        </w:tc>
        <w:tc>
          <w:tcPr>
            <w:tcW w:w="659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江淮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小批量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；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2025H2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逐步放量</w:t>
            </w:r>
          </w:p>
        </w:tc>
        <w:tc>
          <w:tcPr>
            <w:tcW w:w="986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  <w:tr>
        <w:trPr>
          <w:trHeight w:val="525" w:hRule="atLeast"/>
        </w:trPr>
        <w:tc>
          <w:tcPr>
            <w:tcW w:w="605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微棱镜反光膜扩产</w:t>
            </w:r>
          </w:p>
        </w:tc>
        <w:tc>
          <w:tcPr>
            <w:tcW w:w="659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2000万㎡项目预计2025投产</w:t>
            </w:r>
          </w:p>
        </w:tc>
        <w:tc>
          <w:tcPr>
            <w:tcW w:w="986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  <w:tr>
        <w:trPr>
          <w:trHeight w:val="525" w:hRule="atLeast"/>
        </w:trPr>
        <w:tc>
          <w:tcPr>
            <w:tcW w:w="605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一致预期EPS（2025/2026）</w:t>
            </w:r>
          </w:p>
        </w:tc>
        <w:tc>
          <w:tcPr>
            <w:tcW w:w="659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0.33/0.37元</w:t>
            </w:r>
          </w:p>
        </w:tc>
        <w:tc>
          <w:tcPr>
            <w:tcW w:w="986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  <w:tr>
        <w:trPr>
          <w:trHeight w:val="525" w:hRule="atLeast"/>
        </w:trPr>
        <w:tc>
          <w:tcPr>
            <w:tcW w:w="605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一致预期PE（2025/2026）</w:t>
            </w:r>
          </w:p>
        </w:tc>
        <w:tc>
          <w:tcPr>
            <w:tcW w:w="659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25.15x/22.46x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 或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29.90x/26.59x</w:t>
            </w:r>
          </w:p>
        </w:tc>
        <w:tc>
          <w:tcPr>
            <w:tcW w:w="986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</w:tbl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风险与与众不同观点</w:t>
      </w:r>
    </w:p>
    <w:p>
      <w:pPr>
        <w:numPr>
          <w:ilvl w:val="0"/>
          <w:numId w:val="9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行业仍处价底企稳期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：膜料价格虽企稳但盈利修复节奏取决于需求与中高端国产替代速度，短期行业毛利仍承压，需关注公司产品结构升级进度。</w:t>
      </w:r>
    </w:p>
    <w:p>
      <w:pPr>
        <w:numPr>
          <w:ilvl w:val="0"/>
          <w:numId w:val="9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新材料商业化节奏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：石墨烯膜与车载光学膜虽明确</w:t>
      </w:r>
      <w:r>
        <w:rPr>
          <w:rFonts w:ascii="Times New Roman" w:hAnsi="Times New Roman"/>
          <w:b/>
          <w:i w:val="false"/>
          <w:color w:val="000000"/>
          <w:sz w:val="22"/>
        </w:rPr>
        <w:t>2025H2小批量</w:t>
      </w:r>
      <w:r>
        <w:rPr>
          <w:rFonts w:ascii="Times New Roman" w:hAnsi="Times New Roman"/>
          <w:b w:val="false"/>
          <w:i w:val="false"/>
          <w:color w:val="000000"/>
          <w:sz w:val="22"/>
        </w:rPr>
        <w:t>指引，但从小批到规模化对工艺良率、客户认证、成本控制要求高，量产节奏存在不确定性。</w:t>
      </w:r>
    </w:p>
    <w:p>
      <w:pPr>
        <w:numPr>
          <w:ilvl w:val="0"/>
          <w:numId w:val="9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海外经营与汇兑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：公司海外业务占比提升，需持续关注海外子公司应收账款与汇率波动对利润与现金流的影响。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【可能延伸的思考维度】</w:t>
      </w:r>
    </w:p>
    <w:p>
      <w:pPr>
        <w:numPr>
          <w:ilvl w:val="0"/>
          <w:numId w:val="10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跟踪2025H2石墨烯膜与车载偏光反射膜的实际订单与产能利用率，验证规模化拐点节奏。</w:t>
      </w:r>
    </w:p>
    <w:p>
      <w:pPr>
        <w:numPr>
          <w:ilvl w:val="0"/>
          <w:numId w:val="10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以项目制评估微棱镜2000万㎡扩产后对高端反光产品毛利率与海外市占的提升幅度。</w:t>
      </w:r>
    </w:p>
    <w:p>
      <w:pPr>
        <w:numPr>
          <w:ilvl w:val="0"/>
          <w:numId w:val="10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建立行业价格-盈利敏感性模型，测算BOPET/BOPP价格回升对光学膜板块毛利改善的弹性。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="media/document_image_rId4.jpeg" Type="http://schemas.openxmlformats.org/officeDocument/2006/relationships/image" Id="rId4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