
<file path=[Content_Types].xml><?xml version="1.0" encoding="utf-8"?>
<Types xmlns="http://schemas.openxmlformats.org/package/2006/content-types">
  <Default Extension="jpeg" ContentType="image/jpe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9 (Apache licensed) using REFERENCE JAXB in Oracle Java 1.8.0_321 on Linux -->
    <w:p>
      <w:pPr>
        <w:spacing w:before="300" w:after="300"/>
        <w:ind w:left="120"/>
        <w:jc w:val="center"/>
      </w:pPr>
      <w:r>
        <w:rPr>
          <w:rFonts w:ascii="Times New Roman" w:hAnsi="Times New Roman"/>
          <w:b/>
          <w:i w:val="false"/>
          <w:color w:val="000000"/>
          <w:sz w:val="30"/>
        </w:rPr>
        <w:t xml:space="preserve"> 你是一位专业的股票研究员，你目前的主要工... </w:t>
      </w:r>
    </w:p>
    <w:p>
      <w:pPr>
        <w:spacing w:before="269" w:after="269"/>
        <w:ind w:left="120"/>
        <w:jc w:val="left"/>
      </w:pPr>
      <w:r>
        <w:rPr>
          <w:rFonts w:ascii="Times New Roman" w:hAnsi="Times New Roman"/>
          <w:b w:val="false"/>
          <w:i w:val="false"/>
          <w:color w:val="000000"/>
          <w:sz w:val="22"/>
        </w:rPr>
        <w:t>【结论】高乐股份短期“以玩具主业内销修复+费用投入换增长”，季度拐点已现但年度仍处扭亏爬坡；中期机会在于抓住国内潮玩与授权IP赛道高景气、强化线上与礼赠渠道，并在汇率与关税改善时重启外销动能，核心变量是产品矩阵与渠道效率的落地节奏。</w:t>
      </w:r>
    </w:p>
    <w:p>
      <w:pPr>
        <w:spacing w:before="269" w:after="269"/>
        <w:ind w:left="120"/>
        <w:jc w:val="left"/>
      </w:pPr>
      <w:r>
        <w:drawing>
          <wp:inline distT="0" distB="0" distL="0" distR="0">
            <wp:extent cx="5732145" cy="3860908"/>
            <wp:effectExtent l="0" t="0" r="0" b="0"/>
            <wp:docPr id="2" name="" descr="数据来源：Wind，国泰君安证券研究"/>
            <wp:cNvGraphicFramePr>
              <a:graphicFrameLocks noChangeAspect="true"/>
            </wp:cNvGraphicFramePr>
            <a:graphic>
              <a:graphicData uri="http://schemas.openxmlformats.org/drawingml/2006/picture">
                <pic:pic>
                  <pic:nvPicPr>
                    <pic:cNvPr id="1" name=""/>
                    <pic:cNvPicPr/>
                  </pic:nvPicPr>
                  <pic:blipFill>
                    <a:blip r:embed="rId4"/>
                    <a:stretch>
                      <a:fillRect/>
                    </a:stretch>
                  </pic:blipFill>
                  <pic:spPr>
                    <a:xfrm>
                      <a:off x="0" y="0"/>
                      <a:ext cx="5732145" cy="3860908"/>
                    </a:xfrm>
                    <a:prstGeom prst="rect">
                      <a:avLst/>
                    </a:prstGeom>
                  </pic:spPr>
                </pic:pic>
              </a:graphicData>
            </a:graphic>
          </wp:inline>
        </w:drawing>
      </w:r>
    </w:p>
    <w:p>
      <w:pPr>
        <w:spacing w:before="180" w:after="180"/>
        <w:ind w:left="120"/>
        <w:jc w:val="left"/>
      </w:pPr>
      <w:r>
        <w:rPr>
          <w:rFonts w:ascii="Times New Roman" w:hAnsi="Times New Roman"/>
          <w:b/>
          <w:i w:val="false"/>
          <w:color w:val="000000"/>
          <w:sz w:val="33"/>
        </w:rPr>
        <w:t>1. 行业量价与增长：现状、节奏与出口</w:t>
      </w:r>
    </w:p>
    <w:p>
      <w:pPr>
        <w:numPr>
          <w:ilvl w:val="0"/>
          <w:numId w:val="1"/>
        </w:numPr>
        <w:spacing w:before="0" w:after="0"/>
        <w:jc w:val="left"/>
      </w:pPr>
      <w:r>
        <w:rPr>
          <w:rFonts w:ascii="Times New Roman" w:hAnsi="Times New Roman"/>
          <w:b w:val="false"/>
          <w:i w:val="false"/>
          <w:color w:val="000000"/>
          <w:sz w:val="22"/>
        </w:rPr>
        <w:t>全球与细分规模/增速</w:t>
      </w:r>
    </w:p>
    <w:p>
      <w:pPr>
        <w:numPr>
          <w:ilvl w:val="0"/>
          <w:numId w:val="1"/>
        </w:numPr>
        <w:spacing w:before="0" w:after="0"/>
        <w:jc w:val="left"/>
      </w:pPr>
      <w:r>
        <w:rPr>
          <w:rFonts w:ascii="Times New Roman" w:hAnsi="Times New Roman"/>
          <w:b w:val="false"/>
          <w:i w:val="false"/>
          <w:color w:val="000000"/>
          <w:sz w:val="22"/>
        </w:rPr>
        <w:t>2023年全球玩具市场规模约940.25亿美元，2019-2023年CAGR为1.1%，处于低速稳态。</w:t>
      </w:r>
    </w:p>
    <w:p>
      <w:pPr>
        <w:numPr>
          <w:ilvl w:val="0"/>
          <w:numId w:val="1"/>
        </w:numPr>
        <w:spacing w:before="0" w:after="0"/>
        <w:jc w:val="left"/>
      </w:pPr>
      <w:r>
        <w:rPr>
          <w:rFonts w:ascii="Times New Roman" w:hAnsi="Times New Roman"/>
          <w:b w:val="false"/>
          <w:i w:val="false"/>
          <w:color w:val="000000"/>
          <w:sz w:val="22"/>
        </w:rPr>
        <w:t>建造类玩具（积木拼搭）2023年达148.59亿美元，2019-2023年CAGR为6.5%，显著跑赢大盘。</w:t>
      </w:r>
    </w:p>
    <w:p>
      <w:pPr>
        <w:numPr>
          <w:ilvl w:val="0"/>
          <w:numId w:val="1"/>
        </w:numPr>
        <w:spacing w:before="0" w:after="0"/>
        <w:jc w:val="left"/>
      </w:pPr>
      <w:r>
        <w:rPr>
          <w:rFonts w:ascii="Times New Roman" w:hAnsi="Times New Roman"/>
          <w:b w:val="false"/>
          <w:i w:val="false"/>
          <w:color w:val="000000"/>
          <w:sz w:val="22"/>
        </w:rPr>
        <w:t>玩具及游戏电商2024年收入预计551.0亿美元，至2029年预计855.7亿美元，2024-2029年复合增速约10.7%，线上渗透持续抬升。</w:t>
      </w:r>
    </w:p>
    <w:p>
      <w:pPr>
        <w:numPr>
          <w:ilvl w:val="0"/>
          <w:numId w:val="1"/>
        </w:numPr>
        <w:spacing w:before="0" w:after="0"/>
        <w:jc w:val="left"/>
      </w:pPr>
      <w:r>
        <w:rPr>
          <w:rFonts w:ascii="Times New Roman" w:hAnsi="Times New Roman"/>
          <w:b w:val="false"/>
          <w:i w:val="false"/>
          <w:color w:val="000000"/>
          <w:sz w:val="22"/>
        </w:rPr>
        <w:t>中国与亚洲市场节奏</w:t>
      </w:r>
    </w:p>
    <w:p>
      <w:pPr>
        <w:numPr>
          <w:ilvl w:val="0"/>
          <w:numId w:val="1"/>
        </w:numPr>
        <w:spacing w:before="0" w:after="0"/>
        <w:jc w:val="left"/>
      </w:pPr>
      <w:r>
        <w:rPr>
          <w:rFonts w:ascii="Times New Roman" w:hAnsi="Times New Roman"/>
          <w:b w:val="false"/>
          <w:i w:val="false"/>
          <w:color w:val="000000"/>
          <w:sz w:val="22"/>
        </w:rPr>
        <w:t>2024年国内传统玩具市场规模约774.19亿元，同比增长约4.6%；潮玩市场规模约727亿元，同比增长约26%，结构性分化显著（潮玩高景气）。</w:t>
      </w:r>
    </w:p>
    <w:p>
      <w:pPr>
        <w:numPr>
          <w:ilvl w:val="0"/>
          <w:numId w:val="1"/>
        </w:numPr>
        <w:spacing w:before="0" w:after="0"/>
        <w:jc w:val="left"/>
      </w:pPr>
      <w:r>
        <w:rPr>
          <w:rFonts w:ascii="Times New Roman" w:hAnsi="Times New Roman"/>
          <w:b w:val="false"/>
          <w:i w:val="false"/>
          <w:color w:val="000000"/>
          <w:sz w:val="22"/>
        </w:rPr>
        <w:t>亚洲区整体稳中微升：2024年中国、日本增幅约5%，东南亚受电商与社媒带动增速约7%。</w:t>
      </w:r>
    </w:p>
    <w:p>
      <w:pPr>
        <w:numPr>
          <w:ilvl w:val="0"/>
          <w:numId w:val="1"/>
        </w:numPr>
        <w:spacing w:before="0" w:after="0"/>
        <w:jc w:val="left"/>
      </w:pPr>
      <w:r>
        <w:rPr>
          <w:rFonts w:ascii="Times New Roman" w:hAnsi="Times New Roman"/>
          <w:b w:val="false"/>
          <w:i w:val="false"/>
          <w:color w:val="000000"/>
          <w:sz w:val="22"/>
        </w:rPr>
        <w:t>毛绒赛道作为“少数增长品类”</w:t>
      </w:r>
    </w:p>
    <w:p>
      <w:pPr>
        <w:numPr>
          <w:ilvl w:val="0"/>
          <w:numId w:val="1"/>
        </w:numPr>
        <w:spacing w:before="0" w:after="0"/>
        <w:jc w:val="left"/>
      </w:pPr>
      <w:r>
        <w:rPr>
          <w:rFonts w:ascii="Times New Roman" w:hAnsi="Times New Roman"/>
          <w:b w:val="false"/>
          <w:i w:val="false"/>
          <w:color w:val="000000"/>
          <w:sz w:val="22"/>
        </w:rPr>
        <w:t>2024年全球毛绒玩具市场规模“超过百亿美元”，增幅约15%，主要消费市场为欧、美、日、韩、中；东南亚、拉美加速发展。</w:t>
      </w:r>
    </w:p>
    <w:p>
      <w:pPr>
        <w:numPr>
          <w:ilvl w:val="0"/>
          <w:numId w:val="1"/>
        </w:numPr>
        <w:spacing w:before="0" w:after="0"/>
        <w:jc w:val="left"/>
      </w:pPr>
      <w:r>
        <w:rPr>
          <w:rFonts w:ascii="Times New Roman" w:hAnsi="Times New Roman"/>
          <w:b w:val="false"/>
          <w:i w:val="false"/>
          <w:color w:val="000000"/>
          <w:sz w:val="22"/>
        </w:rPr>
        <w:t>他源测算2024年毛绒市场约113.2亿美元，2033年约203亿美元，预测CAGR 6.7%（区间验证口径差异）。</w:t>
      </w:r>
    </w:p>
    <w:p>
      <w:pPr>
        <w:numPr>
          <w:ilvl w:val="0"/>
          <w:numId w:val="1"/>
        </w:numPr>
        <w:spacing w:before="0" w:after="0"/>
        <w:jc w:val="left"/>
      </w:pPr>
      <w:r>
        <w:rPr>
          <w:rFonts w:ascii="Times New Roman" w:hAnsi="Times New Roman"/>
          <w:b w:val="false"/>
          <w:i w:val="false"/>
          <w:color w:val="000000"/>
          <w:sz w:val="22"/>
        </w:rPr>
        <w:t>出海/出口侧线索</w:t>
      </w:r>
    </w:p>
    <w:p>
      <w:pPr>
        <w:numPr>
          <w:ilvl w:val="0"/>
          <w:numId w:val="1"/>
        </w:numPr>
        <w:spacing w:before="0" w:after="0"/>
        <w:jc w:val="left"/>
      </w:pPr>
      <w:r>
        <w:rPr>
          <w:rFonts w:ascii="Times New Roman" w:hAnsi="Times New Roman"/>
          <w:b w:val="false"/>
          <w:i w:val="false"/>
          <w:color w:val="000000"/>
          <w:sz w:val="22"/>
        </w:rPr>
        <w:t>行业级出口增速数据未提供，但国内企业出海趋势明确、东南亚与拉美成为增量承接地。</w:t>
      </w:r>
    </w:p>
    <w:p>
      <w:pPr>
        <w:numPr>
          <w:ilvl w:val="0"/>
          <w:numId w:val="1"/>
        </w:numPr>
        <w:spacing w:before="0" w:after="0"/>
        <w:jc w:val="left"/>
      </w:pPr>
      <w:r>
        <w:rPr>
          <w:rFonts w:ascii="Times New Roman" w:hAnsi="Times New Roman"/>
          <w:b w:val="false"/>
          <w:i w:val="false"/>
          <w:color w:val="000000"/>
          <w:sz w:val="22"/>
        </w:rPr>
        <w:t>公司口径：高乐2024年美国市场收入约5,989万元，占比约19%，若关税下调将利好外销恢复（对行业出口具有指示意义）。</w:t>
      </w:r>
    </w:p>
    <w:p>
      <w:pPr>
        <w:spacing w:before="180" w:after="180"/>
        <w:ind w:left="120"/>
        <w:jc w:val="left"/>
      </w:pPr>
      <w:r>
        <w:rPr>
          <w:rFonts w:ascii="Times New Roman" w:hAnsi="Times New Roman"/>
          <w:b/>
          <w:i w:val="false"/>
          <w:color w:val="000000"/>
          <w:sz w:val="33"/>
        </w:rPr>
        <w:t>2. 竞争格局与市占</w:t>
      </w:r>
    </w:p>
    <w:p>
      <w:pPr>
        <w:numPr>
          <w:ilvl w:val="0"/>
          <w:numId w:val="2"/>
        </w:numPr>
        <w:spacing w:before="0" w:after="0"/>
        <w:jc w:val="left"/>
      </w:pPr>
      <w:r>
        <w:rPr>
          <w:rFonts w:ascii="Times New Roman" w:hAnsi="Times New Roman"/>
          <w:b w:val="false"/>
          <w:i w:val="false"/>
          <w:color w:val="000000"/>
          <w:sz w:val="22"/>
        </w:rPr>
        <w:t>全球格局</w:t>
      </w:r>
    </w:p>
    <w:p>
      <w:pPr>
        <w:numPr>
          <w:ilvl w:val="0"/>
          <w:numId w:val="2"/>
        </w:numPr>
        <w:spacing w:before="0" w:after="0"/>
        <w:jc w:val="left"/>
      </w:pPr>
      <w:r>
        <w:rPr>
          <w:rFonts w:ascii="Times New Roman" w:hAnsi="Times New Roman"/>
          <w:b w:val="false"/>
          <w:i w:val="false"/>
          <w:color w:val="000000"/>
          <w:sz w:val="22"/>
        </w:rPr>
        <w:t>乐高在全球玩具市场份额约11.5%，在建造类（Construction）份额约72.7%，行业龙头地位稳固，北美/西欧/亚太建造类份额分别约88.8%/82.9%/45.8%。</w:t>
      </w:r>
    </w:p>
    <w:p>
      <w:pPr>
        <w:numPr>
          <w:ilvl w:val="0"/>
          <w:numId w:val="2"/>
        </w:numPr>
        <w:spacing w:before="0" w:after="0"/>
        <w:jc w:val="left"/>
      </w:pPr>
      <w:r>
        <w:rPr>
          <w:rFonts w:ascii="Times New Roman" w:hAnsi="Times New Roman"/>
          <w:b w:val="false"/>
          <w:i w:val="false"/>
          <w:color w:val="000000"/>
          <w:sz w:val="22"/>
        </w:rPr>
        <w:t>乐高2023年在多区域份额继续提升，体现强者恒强与产品创新驱动的穿透力（与美泰等头部同期对比亦具韧性）。</w:t>
      </w:r>
    </w:p>
    <w:p>
      <w:pPr>
        <w:numPr>
          <w:ilvl w:val="0"/>
          <w:numId w:val="2"/>
        </w:numPr>
        <w:spacing w:before="0" w:after="0"/>
        <w:jc w:val="left"/>
      </w:pPr>
      <w:r>
        <w:rPr>
          <w:rFonts w:ascii="Times New Roman" w:hAnsi="Times New Roman"/>
          <w:b w:val="false"/>
          <w:i w:val="false"/>
          <w:color w:val="000000"/>
          <w:sz w:val="22"/>
        </w:rPr>
        <w:t>国内格局（与高乐业务相关赛道）</w:t>
      </w:r>
    </w:p>
    <w:p>
      <w:pPr>
        <w:numPr>
          <w:ilvl w:val="0"/>
          <w:numId w:val="2"/>
        </w:numPr>
        <w:spacing w:before="0" w:after="0"/>
        <w:jc w:val="left"/>
      </w:pPr>
      <w:r>
        <w:rPr>
          <w:rFonts w:ascii="Times New Roman" w:hAnsi="Times New Roman"/>
          <w:b w:val="false"/>
          <w:i w:val="false"/>
          <w:color w:val="000000"/>
          <w:sz w:val="22"/>
        </w:rPr>
        <w:t>高乐为国内电子电动塑胶玩具出口龙头之一，具自有“GOLDLOK”品牌与研发能力、广泛销售网络和行业领先生产技术（定位“出口+电子电动塑胶玩具”细分）。</w:t>
      </w:r>
    </w:p>
    <w:p>
      <w:pPr>
        <w:numPr>
          <w:ilvl w:val="0"/>
          <w:numId w:val="2"/>
        </w:numPr>
        <w:spacing w:before="0" w:after="0"/>
        <w:jc w:val="left"/>
      </w:pPr>
      <w:r>
        <w:rPr>
          <w:rFonts w:ascii="Times New Roman" w:hAnsi="Times New Roman"/>
          <w:b w:val="false"/>
          <w:i w:val="false"/>
          <w:color w:val="000000"/>
          <w:sz w:val="22"/>
        </w:rPr>
        <w:t>实丰文化：智能玩具为核心，结合AI与多IP授权，自主IP盲盒；与高乐在“智能/IP授权/盲盒”等维度存在交集与差异化定位。</w:t>
      </w:r>
    </w:p>
    <w:p>
      <w:pPr>
        <w:numPr>
          <w:ilvl w:val="0"/>
          <w:numId w:val="2"/>
        </w:numPr>
        <w:spacing w:before="0" w:after="0"/>
        <w:jc w:val="left"/>
      </w:pPr>
      <w:r>
        <w:rPr>
          <w:rFonts w:ascii="Times New Roman" w:hAnsi="Times New Roman"/>
          <w:b w:val="false"/>
          <w:i w:val="false"/>
          <w:color w:val="000000"/>
          <w:sz w:val="22"/>
        </w:rPr>
        <w:t>布鲁可：拼搭角色类龙头，2023年GMV约18亿元、同比&gt;170%，2024Q1收入4.66亿元同比+224%，毛利率达52%、经调整净利率26%，反映拼搭赛道高景气与利润属性。</w:t>
      </w:r>
    </w:p>
    <w:p>
      <w:pPr>
        <w:numPr>
          <w:ilvl w:val="0"/>
          <w:numId w:val="2"/>
        </w:numPr>
        <w:spacing w:before="0" w:after="0"/>
        <w:jc w:val="left"/>
      </w:pPr>
      <w:r>
        <w:rPr>
          <w:rFonts w:ascii="Times New Roman" w:hAnsi="Times New Roman"/>
          <w:b w:val="false"/>
          <w:i w:val="false"/>
          <w:color w:val="000000"/>
          <w:sz w:val="22"/>
        </w:rPr>
        <w:t>潮玩零售龙头泡泡玛特2024年营收169.9亿元、经调整净利27.2亿元，海外直营投入高但中长期价值持续（渠道与IP营运能力显著）。</w:t>
      </w:r>
    </w:p>
    <w:p>
      <w:pPr>
        <w:spacing w:before="180" w:after="180"/>
        <w:ind w:left="120"/>
        <w:jc w:val="left"/>
      </w:pPr>
      <w:r>
        <w:rPr>
          <w:rFonts w:ascii="Times New Roman" w:hAnsi="Times New Roman"/>
          <w:b/>
          <w:i w:val="false"/>
          <w:color w:val="000000"/>
          <w:sz w:val="33"/>
        </w:rPr>
        <w:t>3. 供需、产能与价格</w:t>
      </w:r>
    </w:p>
    <w:p>
      <w:pPr>
        <w:numPr>
          <w:ilvl w:val="0"/>
          <w:numId w:val="3"/>
        </w:numPr>
        <w:spacing w:before="0" w:after="0"/>
        <w:jc w:val="left"/>
      </w:pPr>
      <w:r>
        <w:rPr>
          <w:rFonts w:ascii="Times New Roman" w:hAnsi="Times New Roman"/>
          <w:b w:val="false"/>
          <w:i w:val="false"/>
          <w:color w:val="000000"/>
          <w:sz w:val="22"/>
        </w:rPr>
        <w:t>供需结构</w:t>
      </w:r>
    </w:p>
    <w:p>
      <w:pPr>
        <w:numPr>
          <w:ilvl w:val="0"/>
          <w:numId w:val="3"/>
        </w:numPr>
        <w:spacing w:before="0" w:after="0"/>
        <w:jc w:val="left"/>
      </w:pPr>
      <w:r>
        <w:rPr>
          <w:rFonts w:ascii="Times New Roman" w:hAnsi="Times New Roman"/>
          <w:b w:val="false"/>
          <w:i w:val="false"/>
          <w:color w:val="000000"/>
          <w:sz w:val="22"/>
        </w:rPr>
        <w:t>国内2024年呈“两极分化”：潮玩爆款频出而传统玩具平稳；制造端45.83%企业增收、渠道端仅18.75%增收，显示产业链“制造强/渠道弱”的结构张力（供给端积极拥抱潮玩、渠道出清）。</w:t>
      </w:r>
    </w:p>
    <w:p>
      <w:pPr>
        <w:numPr>
          <w:ilvl w:val="0"/>
          <w:numId w:val="3"/>
        </w:numPr>
        <w:spacing w:before="0" w:after="0"/>
        <w:jc w:val="left"/>
      </w:pPr>
      <w:r>
        <w:rPr>
          <w:rFonts w:ascii="Times New Roman" w:hAnsi="Times New Roman"/>
          <w:b w:val="false"/>
          <w:i w:val="false"/>
          <w:color w:val="000000"/>
          <w:sz w:val="22"/>
        </w:rPr>
        <w:t>线上渗透与电商增速明确（至2029年电商复合两位数），在供给侧SKU创新/柔性制造与需求侧线上触达共同作用下，供需错配程度下降。</w:t>
      </w:r>
    </w:p>
    <w:p>
      <w:pPr>
        <w:numPr>
          <w:ilvl w:val="0"/>
          <w:numId w:val="3"/>
        </w:numPr>
        <w:spacing w:before="0" w:after="0"/>
        <w:jc w:val="left"/>
      </w:pPr>
      <w:r>
        <w:rPr>
          <w:rFonts w:ascii="Times New Roman" w:hAnsi="Times New Roman"/>
          <w:b w:val="false"/>
          <w:i w:val="false"/>
          <w:color w:val="000000"/>
          <w:sz w:val="22"/>
        </w:rPr>
        <w:t>产能与投产节奏</w:t>
      </w:r>
    </w:p>
    <w:p>
      <w:pPr>
        <w:numPr>
          <w:ilvl w:val="0"/>
          <w:numId w:val="3"/>
        </w:numPr>
        <w:spacing w:before="0" w:after="0"/>
        <w:jc w:val="left"/>
      </w:pPr>
      <w:r>
        <w:rPr>
          <w:rFonts w:ascii="Times New Roman" w:hAnsi="Times New Roman"/>
          <w:b w:val="false"/>
          <w:i w:val="false"/>
          <w:color w:val="000000"/>
          <w:sz w:val="22"/>
        </w:rPr>
        <w:t>行业未见集中的大规模新增产能披露；领先企业通过标准化/自动化与区域化供应链优化灵活供给（以乐高全球工厂与配送中心扩张为参照）。</w:t>
      </w:r>
    </w:p>
    <w:p>
      <w:pPr>
        <w:numPr>
          <w:ilvl w:val="0"/>
          <w:numId w:val="3"/>
        </w:numPr>
        <w:spacing w:before="0" w:after="0"/>
        <w:jc w:val="left"/>
      </w:pPr>
      <w:r>
        <w:rPr>
          <w:rFonts w:ascii="Times New Roman" w:hAnsi="Times New Roman"/>
          <w:b w:val="false"/>
          <w:i w:val="false"/>
          <w:color w:val="000000"/>
          <w:sz w:val="22"/>
        </w:rPr>
        <w:t>边际变化与价格趋势</w:t>
      </w:r>
    </w:p>
    <w:p>
      <w:pPr>
        <w:numPr>
          <w:ilvl w:val="0"/>
          <w:numId w:val="3"/>
        </w:numPr>
        <w:spacing w:before="0" w:after="0"/>
        <w:jc w:val="left"/>
      </w:pPr>
      <w:r>
        <w:rPr>
          <w:rFonts w:ascii="Times New Roman" w:hAnsi="Times New Roman"/>
          <w:b w:val="false"/>
          <w:i w:val="false"/>
          <w:color w:val="000000"/>
          <w:sz w:val="22"/>
        </w:rPr>
        <w:t>边际需求：成人向、授权IP与毛绒情绪价值驱动的新品类持续扩容（潮玩/毛绒/拼搭角色类）。</w:t>
      </w:r>
    </w:p>
    <w:p>
      <w:pPr>
        <w:numPr>
          <w:ilvl w:val="0"/>
          <w:numId w:val="3"/>
        </w:numPr>
        <w:spacing w:before="0" w:after="0"/>
        <w:jc w:val="left"/>
      </w:pPr>
      <w:r>
        <w:rPr>
          <w:rFonts w:ascii="Times New Roman" w:hAnsi="Times New Roman"/>
          <w:b w:val="false"/>
          <w:i w:val="false"/>
          <w:color w:val="000000"/>
          <w:sz w:val="22"/>
        </w:rPr>
        <w:t>边际供给：传统厂商“向潮玩化”转型、渠道同样增配潮玩SKU，供给侧结构性改善而非总量扩张为主。</w:t>
      </w:r>
    </w:p>
    <w:p>
      <w:pPr>
        <w:numPr>
          <w:ilvl w:val="0"/>
          <w:numId w:val="3"/>
        </w:numPr>
        <w:spacing w:before="0" w:after="0"/>
        <w:jc w:val="left"/>
      </w:pPr>
      <w:r>
        <w:rPr>
          <w:rFonts w:ascii="Times New Roman" w:hAnsi="Times New Roman"/>
          <w:b w:val="false"/>
          <w:i w:val="false"/>
          <w:color w:val="000000"/>
          <w:sz w:val="22"/>
        </w:rPr>
        <w:t>行业价格：缺少统一“价格中枢”数据；参考潮玩/授权品类，因IP抽成与内容溢价，品类ASP具韧性但对渠道效率与爆款依赖更强（定性判断，数据缺口）。</w:t>
      </w:r>
    </w:p>
    <w:p>
      <w:pPr>
        <w:spacing w:before="180" w:after="180"/>
        <w:ind w:left="120"/>
        <w:jc w:val="left"/>
      </w:pPr>
      <w:r>
        <w:rPr>
          <w:rFonts w:ascii="Times New Roman" w:hAnsi="Times New Roman"/>
          <w:b/>
          <w:i w:val="false"/>
          <w:color w:val="000000"/>
          <w:sz w:val="33"/>
        </w:rPr>
        <w:t>4. 未来行业发展的核心逻辑</w:t>
      </w:r>
    </w:p>
    <w:p>
      <w:pPr>
        <w:numPr>
          <w:ilvl w:val="0"/>
          <w:numId w:val="4"/>
        </w:numPr>
        <w:spacing w:before="0" w:after="0"/>
        <w:jc w:val="left"/>
      </w:pPr>
      <w:r>
        <w:rPr>
          <w:rFonts w:ascii="Times New Roman" w:hAnsi="Times New Roman"/>
          <w:b w:val="false"/>
          <w:i w:val="false"/>
          <w:color w:val="000000"/>
          <w:sz w:val="22"/>
        </w:rPr>
        <w:t>授权IP与内容共振：IP矩阵与内容化运营提升产品溢价与生命周期，潮玩/拼搭角色类长期渗透上行（2023-2028E拼搭角色类CAGR约29%，渗透率8%→18.4%）。</w:t>
      </w:r>
    </w:p>
    <w:p>
      <w:pPr>
        <w:numPr>
          <w:ilvl w:val="0"/>
          <w:numId w:val="4"/>
        </w:numPr>
        <w:spacing w:before="0" w:after="0"/>
        <w:jc w:val="left"/>
      </w:pPr>
      <w:r>
        <w:rPr>
          <w:rFonts w:ascii="Times New Roman" w:hAnsi="Times New Roman"/>
          <w:b w:val="false"/>
          <w:i w:val="false"/>
          <w:color w:val="000000"/>
          <w:sz w:val="22"/>
        </w:rPr>
        <w:t>成人化/情绪价值消费：毛绒作为“少数增长品类”，受大童消费、情绪疗愈与社交表达推动，维持稳健增长。</w:t>
      </w:r>
    </w:p>
    <w:p>
      <w:pPr>
        <w:numPr>
          <w:ilvl w:val="0"/>
          <w:numId w:val="4"/>
        </w:numPr>
        <w:spacing w:before="0" w:after="0"/>
        <w:jc w:val="left"/>
      </w:pPr>
      <w:r>
        <w:rPr>
          <w:rFonts w:ascii="Times New Roman" w:hAnsi="Times New Roman"/>
          <w:b w:val="false"/>
          <w:i w:val="false"/>
          <w:color w:val="000000"/>
          <w:sz w:val="22"/>
        </w:rPr>
        <w:t>数字渠道与全球化：玩具电商复合高增长，东南亚与拉美等新兴市场成为新增量，全球供应链区域化布局缩短交付周期、降低物流波动风险（对中国厂商出海利好）。</w:t>
      </w:r>
    </w:p>
    <w:p>
      <w:pPr>
        <w:spacing w:before="180" w:after="180"/>
        <w:ind w:left="120"/>
        <w:jc w:val="left"/>
      </w:pPr>
      <w:r>
        <w:rPr>
          <w:rFonts w:ascii="Times New Roman" w:hAnsi="Times New Roman"/>
          <w:b/>
          <w:i w:val="false"/>
          <w:color w:val="000000"/>
          <w:sz w:val="33"/>
        </w:rPr>
        <w:t>5. 高乐股份最新经营与分业务线表现</w:t>
      </w:r>
    </w:p>
    <w:p>
      <w:pPr>
        <w:numPr>
          <w:ilvl w:val="0"/>
          <w:numId w:val="5"/>
        </w:numPr>
        <w:spacing w:before="0" w:after="0"/>
        <w:jc w:val="left"/>
      </w:pPr>
      <w:r>
        <w:rPr>
          <w:rFonts w:ascii="Times New Roman" w:hAnsi="Times New Roman"/>
          <w:b w:val="false"/>
          <w:i w:val="false"/>
          <w:color w:val="000000"/>
          <w:sz w:val="22"/>
        </w:rPr>
        <w:t>报表快览：拐点在单季</w:t>
      </w:r>
    </w:p>
    <w:p>
      <w:pPr>
        <w:numPr>
          <w:ilvl w:val="0"/>
          <w:numId w:val="5"/>
        </w:numPr>
        <w:spacing w:before="0" w:after="0"/>
        <w:jc w:val="left"/>
      </w:pPr>
      <w:r>
        <w:rPr>
          <w:rFonts w:ascii="Times New Roman" w:hAnsi="Times New Roman"/>
          <w:b w:val="false"/>
          <w:i w:val="false"/>
          <w:color w:val="000000"/>
          <w:sz w:val="22"/>
        </w:rPr>
        <w:t>2024年：营收3.1526亿元，同比+18.34%；归母净利润-57,297,788.26元（减亏）；玩具及相关业务收入3.0321亿元，同比+22.63%。</w:t>
      </w:r>
    </w:p>
    <w:p>
      <w:pPr>
        <w:numPr>
          <w:ilvl w:val="0"/>
          <w:numId w:val="5"/>
        </w:numPr>
        <w:spacing w:before="0" w:after="0"/>
        <w:jc w:val="left"/>
      </w:pPr>
      <w:r>
        <w:rPr>
          <w:rFonts w:ascii="Times New Roman" w:hAnsi="Times New Roman"/>
          <w:b w:val="false"/>
          <w:i w:val="false"/>
          <w:color w:val="000000"/>
          <w:sz w:val="22"/>
        </w:rPr>
        <w:t>2025H1：营收1.3135亿元，同比+35.93%；归母净利润-27,951,606.57元，同比减亏21.95%；经营性现金流净额-1,5079万元，同比改善29.69%。</w:t>
      </w:r>
    </w:p>
    <w:p>
      <w:pPr>
        <w:numPr>
          <w:ilvl w:val="0"/>
          <w:numId w:val="5"/>
        </w:numPr>
        <w:spacing w:before="0" w:after="0"/>
        <w:jc w:val="left"/>
      </w:pPr>
      <w:r>
        <w:rPr>
          <w:rFonts w:ascii="Times New Roman" w:hAnsi="Times New Roman"/>
          <w:b w:val="false"/>
          <w:i w:val="false"/>
          <w:color w:val="000000"/>
          <w:sz w:val="22"/>
        </w:rPr>
        <w:t>2025Q1/Q2/Q3单季营收分别约0.53/0.79/0.95亿元；Q3单季归母净利润约1,627.9万元（前两季为亏损），单季实现扭亏。</w:t>
      </w:r>
    </w:p>
    <w:p>
      <w:pPr>
        <w:numPr>
          <w:ilvl w:val="0"/>
          <w:numId w:val="5"/>
        </w:numPr>
        <w:spacing w:before="0" w:after="0"/>
        <w:jc w:val="left"/>
      </w:pPr>
      <w:r>
        <w:rPr>
          <w:rFonts w:ascii="Times New Roman" w:hAnsi="Times New Roman"/>
          <w:b w:val="false"/>
          <w:i w:val="false"/>
          <w:color w:val="000000"/>
          <w:sz w:val="22"/>
        </w:rPr>
        <w:t>2025Q3单季营收同比+10.06%（验证恢复但基数抬升），显示“单季改善—年度扭亏仍需跟踪”。</w:t>
      </w:r>
    </w:p>
    <w:p>
      <w:pPr>
        <w:numPr>
          <w:ilvl w:val="0"/>
          <w:numId w:val="5"/>
        </w:numPr>
        <w:spacing w:before="0" w:after="0"/>
        <w:jc w:val="left"/>
      </w:pPr>
      <w:r>
        <w:rPr>
          <w:rFonts w:ascii="Times New Roman" w:hAnsi="Times New Roman"/>
          <w:b w:val="false"/>
          <w:i w:val="false"/>
          <w:color w:val="000000"/>
          <w:sz w:val="22"/>
        </w:rPr>
        <w:t>业务结构与动因</w:t>
      </w:r>
    </w:p>
    <w:p>
      <w:pPr>
        <w:numPr>
          <w:ilvl w:val="0"/>
          <w:numId w:val="5"/>
        </w:numPr>
        <w:spacing w:before="0" w:after="0"/>
        <w:jc w:val="left"/>
      </w:pPr>
      <w:r>
        <w:rPr>
          <w:rFonts w:ascii="Times New Roman" w:hAnsi="Times New Roman"/>
          <w:b w:val="false"/>
          <w:i w:val="false"/>
          <w:color w:val="000000"/>
          <w:sz w:val="22"/>
        </w:rPr>
        <w:t>业务占比：2025H1玩具及相关业务占96.77%，互联网+教育占1.70%，塑料制品占1.53%，“单一主业”特征突出。</w:t>
      </w:r>
    </w:p>
    <w:p>
      <w:pPr>
        <w:numPr>
          <w:ilvl w:val="0"/>
          <w:numId w:val="5"/>
        </w:numPr>
        <w:spacing w:before="0" w:after="0"/>
        <w:jc w:val="left"/>
      </w:pPr>
      <w:r>
        <w:rPr>
          <w:rFonts w:ascii="Times New Roman" w:hAnsi="Times New Roman"/>
          <w:b w:val="false"/>
          <w:i w:val="false"/>
          <w:color w:val="000000"/>
          <w:sz w:val="22"/>
        </w:rPr>
        <w:t>内外销结构：2024年玩具国内收入2.094亿元，同比+46.18%；国际收入0.938亿元，同比-9.81%（内销修复、外销承压）。</w:t>
      </w:r>
    </w:p>
    <w:p>
      <w:pPr>
        <w:numPr>
          <w:ilvl w:val="0"/>
          <w:numId w:val="5"/>
        </w:numPr>
        <w:spacing w:before="0" w:after="0"/>
        <w:jc w:val="left"/>
      </w:pPr>
      <w:r>
        <w:rPr>
          <w:rFonts w:ascii="Times New Roman" w:hAnsi="Times New Roman"/>
          <w:b w:val="false"/>
          <w:i w:val="false"/>
          <w:color w:val="000000"/>
          <w:sz w:val="22"/>
        </w:rPr>
        <w:t>费用与投入：2025前三季度销售费用同比+57.55%，系IP授权费、推广费、人工与超市费用增加（“以费用换增长”带来单季放量，但年度利润仍受压）。</w:t>
      </w:r>
    </w:p>
    <w:p>
      <w:pPr>
        <w:numPr>
          <w:ilvl w:val="0"/>
          <w:numId w:val="5"/>
        </w:numPr>
        <w:spacing w:before="0" w:after="0"/>
        <w:jc w:val="left"/>
      </w:pPr>
      <w:r>
        <w:rPr>
          <w:rFonts w:ascii="Times New Roman" w:hAnsi="Times New Roman"/>
          <w:b w:val="false"/>
          <w:i w:val="false"/>
          <w:color w:val="000000"/>
          <w:sz w:val="22"/>
        </w:rPr>
        <w:t>现金流：2025年前三季经营性现金流净额-281万元，较2024年同期改善约87.76%（回款改善）。</w:t>
      </w:r>
    </w:p>
    <w:p>
      <w:pPr>
        <w:numPr>
          <w:ilvl w:val="0"/>
          <w:numId w:val="5"/>
        </w:numPr>
        <w:spacing w:before="0" w:after="0"/>
        <w:jc w:val="left"/>
      </w:pPr>
      <w:r>
        <w:rPr>
          <w:rFonts w:ascii="Times New Roman" w:hAnsi="Times New Roman"/>
          <w:b w:val="false"/>
          <w:i w:val="false"/>
          <w:color w:val="000000"/>
          <w:sz w:val="22"/>
        </w:rPr>
        <w:t>管理层口径/经营指引</w:t>
      </w:r>
    </w:p>
    <w:p>
      <w:pPr>
        <w:numPr>
          <w:ilvl w:val="0"/>
          <w:numId w:val="5"/>
        </w:numPr>
        <w:spacing w:before="0" w:after="0"/>
        <w:jc w:val="left"/>
      </w:pPr>
      <w:r>
        <w:rPr>
          <w:rFonts w:ascii="Times New Roman" w:hAnsi="Times New Roman"/>
          <w:b w:val="false"/>
          <w:i w:val="false"/>
          <w:color w:val="000000"/>
          <w:sz w:val="22"/>
        </w:rPr>
        <w:t>2025H1业绩预告区间：营收1.15-1.40亿元（+19.01%至+44.88%），净亏损2,200-3,500万元（同比减亏），与最终披露数据一致性较高，显示经营节奏逐季修复。</w:t>
      </w:r>
    </w:p>
    <w:p>
      <w:pPr>
        <w:numPr>
          <w:ilvl w:val="0"/>
          <w:numId w:val="5"/>
        </w:numPr>
        <w:spacing w:before="0" w:after="0"/>
        <w:jc w:val="left"/>
      </w:pPr>
      <w:r>
        <w:rPr>
          <w:rFonts w:ascii="Times New Roman" w:hAnsi="Times New Roman"/>
          <w:b w:val="false"/>
          <w:i w:val="false"/>
          <w:color w:val="000000"/>
          <w:sz w:val="22"/>
        </w:rPr>
        <w:t>战略重点：聚焦玩具主业、加大国内渠道与线上拓展、礼品与潮玩精品渠道发力，稳住老客户、开拓新兴市场（东南亚等），强调早日扭亏为盈。</w:t>
      </w:r>
    </w:p>
    <w:p>
      <w:pPr>
        <w:numPr>
          <w:ilvl w:val="0"/>
          <w:numId w:val="5"/>
        </w:numPr>
        <w:spacing w:before="0" w:after="0"/>
        <w:jc w:val="left"/>
      </w:pPr>
      <w:r>
        <w:rPr>
          <w:rFonts w:ascii="Times New Roman" w:hAnsi="Times New Roman"/>
          <w:b w:val="false"/>
          <w:i w:val="false"/>
          <w:color w:val="000000"/>
          <w:sz w:val="22"/>
        </w:rPr>
        <w:t>关税改善的弹性：2024年美国收入约5,989万元（19%占比）；若关税降低将直接利多外销恢复。</w:t>
      </w:r>
    </w:p>
    <w:p>
      <w:pPr>
        <w:numPr>
          <w:ilvl w:val="0"/>
          <w:numId w:val="5"/>
        </w:numPr>
        <w:spacing w:before="0" w:after="0"/>
        <w:jc w:val="left"/>
      </w:pPr>
      <w:r>
        <w:rPr>
          <w:rFonts w:ascii="Times New Roman" w:hAnsi="Times New Roman"/>
          <w:b w:val="false"/>
          <w:i w:val="false"/>
          <w:color w:val="000000"/>
          <w:sz w:val="22"/>
        </w:rPr>
        <w:t>固态电池/新业务：目前尚未投产、无收入贡献，后续推进取决于行业与资金等条件（短期不纳入盈利主线）。</w:t>
      </w:r>
    </w:p>
    <w:p>
      <w:pPr>
        <w:numPr>
          <w:ilvl w:val="0"/>
          <w:numId w:val="5"/>
        </w:numPr>
        <w:spacing w:before="0" w:after="0"/>
        <w:jc w:val="left"/>
      </w:pPr>
      <w:r>
        <w:rPr>
          <w:rFonts w:ascii="Times New Roman" w:hAnsi="Times New Roman"/>
          <w:b w:val="false"/>
          <w:i w:val="false"/>
          <w:color w:val="000000"/>
          <w:sz w:val="22"/>
        </w:rPr>
        <w:t>单位产品盈利与分线利润</w:t>
      </w:r>
    </w:p>
    <w:p>
      <w:pPr>
        <w:numPr>
          <w:ilvl w:val="0"/>
          <w:numId w:val="5"/>
        </w:numPr>
        <w:spacing w:before="0" w:after="0"/>
        <w:jc w:val="left"/>
      </w:pPr>
      <w:r>
        <w:rPr>
          <w:rFonts w:ascii="Times New Roman" w:hAnsi="Times New Roman"/>
          <w:b w:val="false"/>
          <w:i w:val="false"/>
          <w:color w:val="000000"/>
          <w:sz w:val="22"/>
        </w:rPr>
        <w:t>公司未披露分业务线毛利与利润，单位产品盈利口径亦未披露；现阶段可用的利润改善主要来自单季规模提升与期间费用的单位摊薄效应（定性判断，数据缺口）。</w:t>
      </w:r>
    </w:p>
    <w:p>
      <w:pPr>
        <w:spacing w:before="269" w:after="269"/>
        <w:ind w:left="120"/>
        <w:jc w:val="left"/>
      </w:pPr>
      <w:r>
        <w:drawing>
          <wp:inline distT="0" distB="0" distL="0" distR="0">
            <wp:extent cx="5732145" cy="3821430"/>
            <wp:effectExtent l="0" t="0" r="0" b="0"/>
            <wp:docPr id="3" name="" descr="数据来源：Wind，国泰君安证券研究"/>
            <wp:cNvGraphicFramePr>
              <a:graphicFrameLocks noChangeAspect="true"/>
            </wp:cNvGraphicFramePr>
            <a:graphic>
              <a:graphicData uri="http://schemas.openxmlformats.org/drawingml/2006/picture">
                <pic:pic>
                  <pic:nvPicPr>
                    <pic:cNvPr id="1" name=""/>
                    <pic:cNvPicPr/>
                  </pic:nvPicPr>
                  <pic:blipFill>
                    <a:blip r:embed="rId5"/>
                    <a:stretch>
                      <a:fillRect/>
                    </a:stretch>
                  </pic:blipFill>
                  <pic:spPr>
                    <a:xfrm>
                      <a:off x="0" y="0"/>
                      <a:ext cx="5732145" cy="3821430"/>
                    </a:xfrm>
                    <a:prstGeom prst="rect">
                      <a:avLst/>
                    </a:prstGeom>
                  </pic:spPr>
                </pic:pic>
              </a:graphicData>
            </a:graphic>
          </wp:inline>
        </w:drawing>
      </w:r>
    </w:p>
    <w:p>
      <w:pPr>
        <w:spacing w:before="180" w:after="180"/>
        <w:ind w:left="120"/>
        <w:jc w:val="left"/>
      </w:pPr>
      <w:r>
        <w:rPr>
          <w:rFonts w:ascii="Times New Roman" w:hAnsi="Times New Roman"/>
          <w:b/>
          <w:i w:val="false"/>
          <w:color w:val="000000"/>
          <w:sz w:val="33"/>
        </w:rPr>
        <w:t>6. 同业对比与竞争位势</w:t>
      </w:r>
    </w:p>
    <w:p>
      <w:pPr>
        <w:numPr>
          <w:ilvl w:val="0"/>
          <w:numId w:val="6"/>
        </w:numPr>
        <w:spacing w:before="0" w:after="0"/>
        <w:jc w:val="left"/>
      </w:pPr>
      <w:r>
        <w:rPr>
          <w:rFonts w:ascii="Times New Roman" w:hAnsi="Times New Roman"/>
          <w:b w:val="false"/>
          <w:i w:val="false"/>
          <w:color w:val="000000"/>
          <w:sz w:val="22"/>
        </w:rPr>
        <w:t>高乐：电子电动塑胶玩具出口龙头之一，自有品牌+研发+全链生产/销售网络，当前策略转向“内销修复+授权IP/潮玩化+线上礼赠渠道”的多点突破；季度盈利拐点出现但年内仍需费用效率改善与外销回暖配合。</w:t>
      </w:r>
    </w:p>
    <w:p>
      <w:pPr>
        <w:numPr>
          <w:ilvl w:val="0"/>
          <w:numId w:val="6"/>
        </w:numPr>
        <w:spacing w:before="0" w:after="0"/>
        <w:jc w:val="left"/>
      </w:pPr>
      <w:r>
        <w:rPr>
          <w:rFonts w:ascii="Times New Roman" w:hAnsi="Times New Roman"/>
          <w:b w:val="false"/>
          <w:i w:val="false"/>
          <w:color w:val="000000"/>
          <w:sz w:val="22"/>
        </w:rPr>
        <w:t>实丰文化：AI智能玩具+多IP授权+原创IP盲盒，强调“智能+内容”的产品力，适配潮玩与教育互动需求，具备与高乐差异化的“AI/内容”能力边界。</w:t>
      </w:r>
    </w:p>
    <w:p>
      <w:pPr>
        <w:numPr>
          <w:ilvl w:val="0"/>
          <w:numId w:val="6"/>
        </w:numPr>
        <w:spacing w:before="0" w:after="0"/>
        <w:jc w:val="left"/>
      </w:pPr>
      <w:r>
        <w:rPr>
          <w:rFonts w:ascii="Times New Roman" w:hAnsi="Times New Roman"/>
          <w:b w:val="false"/>
          <w:i w:val="false"/>
          <w:color w:val="000000"/>
          <w:sz w:val="22"/>
        </w:rPr>
        <w:t>布鲁可：拼搭角色类高景气、成长性与盈利能力突出，验证“专注细分+IP矩阵+供应链”的有效性（但与高乐赛道不同）。</w:t>
      </w:r>
    </w:p>
    <w:p>
      <w:pPr>
        <w:numPr>
          <w:ilvl w:val="0"/>
          <w:numId w:val="6"/>
        </w:numPr>
        <w:spacing w:before="0" w:after="0"/>
        <w:jc w:val="left"/>
      </w:pPr>
      <w:r>
        <w:rPr>
          <w:rFonts w:ascii="Times New Roman" w:hAnsi="Times New Roman"/>
          <w:b w:val="false"/>
          <w:i w:val="false"/>
          <w:color w:val="000000"/>
          <w:sz w:val="22"/>
        </w:rPr>
        <w:t>潮玩龙头泡泡玛特：渠道与IP平台化能力强，证明“IP运营+直营零售”的可复制现金流模型，但与高乐的“制造/外销底色+内销修复”的路径不同，具有互补与合作潜力而非同质竞争。</w:t>
      </w:r>
    </w:p>
    <w:p>
      <w:pPr>
        <w:spacing w:before="269" w:after="269"/>
        <w:ind w:left="120"/>
        <w:jc w:val="left"/>
      </w:pPr>
      <w:r>
        <w:rPr>
          <w:rFonts w:ascii="Times New Roman" w:hAnsi="Times New Roman"/>
          <w:b w:val="false"/>
          <w:i w:val="false"/>
          <w:color w:val="000000"/>
          <w:sz w:val="22"/>
        </w:rPr>
        <w:t>表1：要点对比（定性）</w:t>
      </w:r>
    </w:p>
    <w:tbl>
      <w:tblPr>
        <w:tblW w:w="0" w:type="auto"/>
        <w:tblCellSpacing w:w="0" w:type="auto"/>
        <w:tblInd w:w="115" w:type="dxa"/>
        <w:tblBorders>
          <w:top w:val="single" w:color="aaaaaa" w:sz="8"/>
          <w:left w:val="single" w:color="aaaaaa" w:sz="8"/>
          <w:bottom w:val="single" w:color="aaaaaa" w:sz="8"/>
          <w:right w:val="single" w:color="aaaaaa" w:sz="8"/>
          <w:insideH w:val="none"/>
          <w:insideV w:val="none"/>
        </w:tblBorders>
      </w:tblPr>
      <w:tblGrid>
        <w:gridCol w:w="1232"/>
        <w:gridCol w:w="4207"/>
        <w:gridCol w:w="3137"/>
        <w:gridCol w:w="5058"/>
      </w:tblGrid>
      <w:tr>
        <w:trPr>
          <w:trHeight w:val="525" w:hRule="atLeast"/>
        </w:trPr>
        <w:tc>
          <w:tcPr>
            <w:tcW w:w="1232"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公司</w:t>
            </w:r>
          </w:p>
        </w:tc>
        <w:tc>
          <w:tcPr>
            <w:tcW w:w="420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主赛道/定位</w:t>
            </w:r>
          </w:p>
        </w:tc>
        <w:tc>
          <w:tcPr>
            <w:tcW w:w="313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核心驱动</w:t>
            </w:r>
          </w:p>
        </w:tc>
        <w:tc>
          <w:tcPr>
            <w:tcW w:w="505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近期增速/利润特征</w:t>
            </w:r>
          </w:p>
        </w:tc>
      </w:tr>
      <w:tr>
        <w:trPr>
          <w:trHeight w:val="510" w:hRule="atLeast"/>
        </w:trPr>
        <w:tc>
          <w:tcPr>
            <w:tcW w:w="1232"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高乐股份</w:t>
            </w:r>
          </w:p>
        </w:tc>
        <w:tc>
          <w:tcPr>
            <w:tcW w:w="420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电子电动塑胶玩具、授权IP、潮玩化转型</w:t>
            </w:r>
          </w:p>
        </w:tc>
        <w:tc>
          <w:tcPr>
            <w:tcW w:w="313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内销渠道修复+IP/推广投入</w:t>
            </w:r>
          </w:p>
        </w:tc>
        <w:tc>
          <w:tcPr>
            <w:tcW w:w="505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2025Q3单季扭亏、年度仍减亏，费用投入高</w:t>
            </w:r>
          </w:p>
        </w:tc>
      </w:tr>
      <w:tr>
        <w:trPr>
          <w:trHeight w:val="510" w:hRule="atLeast"/>
        </w:trPr>
        <w:tc>
          <w:tcPr>
            <w:tcW w:w="1232"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实丰文化</w:t>
            </w:r>
          </w:p>
        </w:tc>
        <w:tc>
          <w:tcPr>
            <w:tcW w:w="420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智能玩具+IP授权+原创IP</w:t>
            </w:r>
          </w:p>
        </w:tc>
        <w:tc>
          <w:tcPr>
            <w:tcW w:w="313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AI+互动玩法</w:t>
            </w:r>
          </w:p>
        </w:tc>
        <w:tc>
          <w:tcPr>
            <w:tcW w:w="505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侧重智能/教育互动属性、与高乐差异化</w:t>
            </w:r>
          </w:p>
        </w:tc>
      </w:tr>
      <w:tr>
        <w:trPr>
          <w:trHeight w:val="510" w:hRule="atLeast"/>
        </w:trPr>
        <w:tc>
          <w:tcPr>
            <w:tcW w:w="1232"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布鲁可</w:t>
            </w:r>
          </w:p>
        </w:tc>
        <w:tc>
          <w:tcPr>
            <w:tcW w:w="420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拼搭角色类</w:t>
            </w:r>
          </w:p>
        </w:tc>
        <w:tc>
          <w:tcPr>
            <w:tcW w:w="313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IP矩阵+供应链标准化</w:t>
            </w:r>
          </w:p>
        </w:tc>
        <w:tc>
          <w:tcPr>
            <w:tcW w:w="505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2024Q1高增+高毛利率，盈利能力强</w:t>
            </w:r>
          </w:p>
        </w:tc>
      </w:tr>
      <w:tr>
        <w:trPr>
          <w:trHeight w:val="510" w:hRule="atLeast"/>
        </w:trPr>
        <w:tc>
          <w:tcPr>
            <w:tcW w:w="1232"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泡泡玛特</w:t>
            </w:r>
          </w:p>
        </w:tc>
        <w:tc>
          <w:tcPr>
            <w:tcW w:w="420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潮玩零售/IP平台</w:t>
            </w:r>
          </w:p>
        </w:tc>
        <w:tc>
          <w:tcPr>
            <w:tcW w:w="313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直营渠道+IP运营</w:t>
            </w:r>
          </w:p>
        </w:tc>
        <w:tc>
          <w:tcPr>
            <w:tcW w:w="505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2024年高增长与稳利润，海外投入提升不确定性</w:t>
            </w:r>
          </w:p>
        </w:tc>
      </w:tr>
    </w:tbl>
    <w:p>
      <w:pPr>
        <w:spacing w:before="180" w:after="180"/>
        <w:ind w:left="120"/>
        <w:jc w:val="left"/>
      </w:pPr>
      <w:r>
        <w:rPr>
          <w:rFonts w:ascii="Times New Roman" w:hAnsi="Times New Roman"/>
          <w:b/>
          <w:i w:val="false"/>
          <w:color w:val="000000"/>
          <w:sz w:val="33"/>
        </w:rPr>
        <w:t>7. 估值与一致预期</w:t>
      </w:r>
    </w:p>
    <w:p>
      <w:pPr>
        <w:numPr>
          <w:ilvl w:val="0"/>
          <w:numId w:val="7"/>
        </w:numPr>
        <w:spacing w:before="0" w:after="0"/>
        <w:jc w:val="left"/>
      </w:pPr>
      <w:r>
        <w:rPr>
          <w:rFonts w:ascii="Times New Roman" w:hAnsi="Times New Roman"/>
          <w:b w:val="false"/>
          <w:i w:val="false"/>
          <w:color w:val="000000"/>
          <w:sz w:val="22"/>
        </w:rPr>
        <w:t>二级市场要素</w:t>
      </w:r>
    </w:p>
    <w:p>
      <w:pPr>
        <w:numPr>
          <w:ilvl w:val="0"/>
          <w:numId w:val="7"/>
        </w:numPr>
        <w:spacing w:before="0" w:after="0"/>
        <w:jc w:val="left"/>
      </w:pPr>
      <w:r>
        <w:rPr>
          <w:rFonts w:ascii="Times New Roman" w:hAnsi="Times New Roman"/>
          <w:b w:val="false"/>
          <w:i w:val="false"/>
          <w:color w:val="000000"/>
          <w:sz w:val="22"/>
        </w:rPr>
        <w:t>最新收盘价：6.63元（2025-12-12）；总市值约62.80亿元；TTM市盈率为负（亏损）。</w:t>
      </w:r>
    </w:p>
    <w:p>
      <w:pPr>
        <w:numPr>
          <w:ilvl w:val="0"/>
          <w:numId w:val="7"/>
        </w:numPr>
        <w:spacing w:before="0" w:after="0"/>
        <w:jc w:val="left"/>
      </w:pPr>
      <w:r>
        <w:rPr>
          <w:rFonts w:ascii="Times New Roman" w:hAnsi="Times New Roman"/>
          <w:b w:val="false"/>
          <w:i w:val="false"/>
          <w:color w:val="000000"/>
          <w:sz w:val="22"/>
        </w:rPr>
        <w:t>一致预期</w:t>
      </w:r>
    </w:p>
    <w:p>
      <w:pPr>
        <w:numPr>
          <w:ilvl w:val="0"/>
          <w:numId w:val="7"/>
        </w:numPr>
        <w:spacing w:before="0" w:after="0"/>
        <w:jc w:val="left"/>
      </w:pPr>
      <w:r>
        <w:rPr>
          <w:rFonts w:ascii="Times New Roman" w:hAnsi="Times New Roman"/>
          <w:b w:val="false"/>
          <w:i w:val="false"/>
          <w:color w:val="000000"/>
          <w:sz w:val="22"/>
        </w:rPr>
        <w:t>目前未检索到针对高乐股份2025/2026年市场一致预期及对应估值数据；在缺少外部一致口径的前提下，不作主观推断。</w:t>
      </w:r>
    </w:p>
    <w:p>
      <w:pPr>
        <w:spacing w:before="180" w:after="180"/>
        <w:ind w:left="120"/>
        <w:jc w:val="left"/>
      </w:pPr>
      <w:r>
        <w:rPr>
          <w:rFonts w:ascii="Times New Roman" w:hAnsi="Times New Roman"/>
          <w:b/>
          <w:i w:val="false"/>
          <w:color w:val="000000"/>
          <w:sz w:val="33"/>
        </w:rPr>
        <w:t>8. 投资要点与跟踪指标</w:t>
      </w:r>
    </w:p>
    <w:p>
      <w:pPr>
        <w:numPr>
          <w:ilvl w:val="0"/>
          <w:numId w:val="8"/>
        </w:numPr>
        <w:spacing w:before="0" w:after="0"/>
        <w:jc w:val="left"/>
      </w:pPr>
      <w:r>
        <w:rPr>
          <w:rFonts w:ascii="Times New Roman" w:hAnsi="Times New Roman"/>
          <w:b w:val="false"/>
          <w:i w:val="false"/>
          <w:color w:val="000000"/>
          <w:sz w:val="22"/>
        </w:rPr>
        <w:t>关键验证点（短中期）</w:t>
      </w:r>
    </w:p>
    <w:p>
      <w:pPr>
        <w:numPr>
          <w:ilvl w:val="0"/>
          <w:numId w:val="8"/>
        </w:numPr>
        <w:spacing w:before="0" w:after="0"/>
        <w:jc w:val="left"/>
      </w:pPr>
      <w:r>
        <w:rPr>
          <w:rFonts w:ascii="Times New Roman" w:hAnsi="Times New Roman"/>
          <w:b w:val="false"/>
          <w:i w:val="false"/>
          <w:color w:val="000000"/>
          <w:sz w:val="22"/>
        </w:rPr>
        <w:t>内销：礼赠/潮玩/母婴与KA渠道的扩张效率、线上电商与内容化投放的ROI（费用率回落与单店/单渠产出提升）。</w:t>
      </w:r>
    </w:p>
    <w:p>
      <w:pPr>
        <w:numPr>
          <w:ilvl w:val="0"/>
          <w:numId w:val="8"/>
        </w:numPr>
        <w:spacing w:before="0" w:after="0"/>
        <w:jc w:val="left"/>
      </w:pPr>
      <w:r>
        <w:rPr>
          <w:rFonts w:ascii="Times New Roman" w:hAnsi="Times New Roman"/>
          <w:b w:val="false"/>
          <w:i w:val="false"/>
          <w:color w:val="000000"/>
          <w:sz w:val="22"/>
        </w:rPr>
        <w:t>外销：美国关税政策与东南亚/拉美拓展效果（订单恢复与产品结构升级）。</w:t>
      </w:r>
    </w:p>
    <w:p>
      <w:pPr>
        <w:numPr>
          <w:ilvl w:val="0"/>
          <w:numId w:val="8"/>
        </w:numPr>
        <w:spacing w:before="0" w:after="0"/>
        <w:jc w:val="left"/>
      </w:pPr>
      <w:r>
        <w:rPr>
          <w:rFonts w:ascii="Times New Roman" w:hAnsi="Times New Roman"/>
          <w:b w:val="false"/>
          <w:i w:val="false"/>
          <w:color w:val="000000"/>
          <w:sz w:val="22"/>
        </w:rPr>
        <w:t>产品：授权IP新品迭代频率与爆款率（决定量价与存货周转）。</w:t>
      </w:r>
    </w:p>
    <w:p>
      <w:pPr>
        <w:numPr>
          <w:ilvl w:val="0"/>
          <w:numId w:val="8"/>
        </w:numPr>
        <w:spacing w:before="0" w:after="0"/>
        <w:jc w:val="left"/>
      </w:pPr>
      <w:r>
        <w:rPr>
          <w:rFonts w:ascii="Times New Roman" w:hAnsi="Times New Roman"/>
          <w:b w:val="false"/>
          <w:i w:val="false"/>
          <w:color w:val="000000"/>
          <w:sz w:val="22"/>
        </w:rPr>
        <w:t>经营质量：销售费用率与经营性现金流的持续改善（Q3已见边际好转）。</w:t>
      </w:r>
    </w:p>
    <w:p>
      <w:pPr>
        <w:spacing w:before="269" w:after="269"/>
        <w:ind w:left="120"/>
        <w:jc w:val="left"/>
      </w:pPr>
      <w:r>
        <w:rPr>
          <w:rFonts w:ascii="Times New Roman" w:hAnsi="Times New Roman"/>
          <w:b w:val="false"/>
          <w:i w:val="false"/>
          <w:color w:val="000000"/>
          <w:sz w:val="22"/>
        </w:rPr>
        <w:t>表2：公司核心数据快照</w:t>
      </w:r>
    </w:p>
    <w:tbl>
      <w:tblPr>
        <w:tblW w:w="0" w:type="auto"/>
        <w:tblCellSpacing w:w="0" w:type="auto"/>
        <w:tblInd w:w="115" w:type="dxa"/>
        <w:tblBorders>
          <w:top w:val="single" w:color="aaaaaa" w:sz="8"/>
          <w:left w:val="single" w:color="aaaaaa" w:sz="8"/>
          <w:bottom w:val="single" w:color="aaaaaa" w:sz="8"/>
          <w:right w:val="single" w:color="aaaaaa" w:sz="8"/>
          <w:insideH w:val="none"/>
          <w:insideV w:val="none"/>
        </w:tblBorders>
      </w:tblPr>
      <w:tblGrid>
        <w:gridCol w:w="3866"/>
        <w:gridCol w:w="5069"/>
        <w:gridCol w:w="4699"/>
      </w:tblGrid>
      <w:tr>
        <w:trPr>
          <w:trHeight w:val="525" w:hRule="atLeast"/>
        </w:trPr>
        <w:tc>
          <w:tcPr>
            <w:tcW w:w="3866"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指标</w:t>
            </w:r>
          </w:p>
        </w:tc>
        <w:tc>
          <w:tcPr>
            <w:tcW w:w="506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数值</w:t>
            </w:r>
          </w:p>
        </w:tc>
        <w:tc>
          <w:tcPr>
            <w:tcW w:w="469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说明</w:t>
            </w:r>
          </w:p>
        </w:tc>
      </w:tr>
      <w:tr>
        <w:trPr>
          <w:trHeight w:val="510" w:hRule="atLeast"/>
        </w:trPr>
        <w:tc>
          <w:tcPr>
            <w:tcW w:w="3866"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2024年营收</w:t>
            </w:r>
          </w:p>
        </w:tc>
        <w:tc>
          <w:tcPr>
            <w:tcW w:w="506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3.1526亿元</w:t>
            </w:r>
          </w:p>
        </w:tc>
        <w:tc>
          <w:tcPr>
            <w:tcW w:w="469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同比+18.34%</w:t>
            </w:r>
          </w:p>
        </w:tc>
      </w:tr>
      <w:tr>
        <w:trPr>
          <w:trHeight w:val="510" w:hRule="atLeast"/>
        </w:trPr>
        <w:tc>
          <w:tcPr>
            <w:tcW w:w="3866"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2024年玩具收入</w:t>
            </w:r>
          </w:p>
        </w:tc>
        <w:tc>
          <w:tcPr>
            <w:tcW w:w="506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3.0321亿元</w:t>
            </w:r>
          </w:p>
        </w:tc>
        <w:tc>
          <w:tcPr>
            <w:tcW w:w="469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同比+22.63%</w:t>
            </w:r>
          </w:p>
        </w:tc>
      </w:tr>
      <w:tr>
        <w:trPr>
          <w:trHeight w:val="510" w:hRule="atLeast"/>
        </w:trPr>
        <w:tc>
          <w:tcPr>
            <w:tcW w:w="3866"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2024年国内/国际玩具收入</w:t>
            </w:r>
          </w:p>
        </w:tc>
        <w:tc>
          <w:tcPr>
            <w:tcW w:w="506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2.094/0.938亿元</w:t>
            </w:r>
          </w:p>
        </w:tc>
        <w:tc>
          <w:tcPr>
            <w:tcW w:w="469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国内+46.18%，国际-9.81%</w:t>
            </w:r>
          </w:p>
        </w:tc>
      </w:tr>
      <w:tr>
        <w:trPr>
          <w:trHeight w:val="510" w:hRule="atLeast"/>
        </w:trPr>
        <w:tc>
          <w:tcPr>
            <w:tcW w:w="3866"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2025H1营收/归母净利</w:t>
            </w:r>
          </w:p>
        </w:tc>
        <w:tc>
          <w:tcPr>
            <w:tcW w:w="506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1.3135亿元 / -2795万元</w:t>
            </w:r>
          </w:p>
        </w:tc>
        <w:tc>
          <w:tcPr>
            <w:tcW w:w="469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营收+35.93%，减亏21.95%</w:t>
            </w:r>
          </w:p>
        </w:tc>
      </w:tr>
      <w:tr>
        <w:trPr>
          <w:trHeight w:val="510" w:hRule="atLeast"/>
        </w:trPr>
        <w:tc>
          <w:tcPr>
            <w:tcW w:w="3866"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2025Q3单季营收/归母净利</w:t>
            </w:r>
          </w:p>
        </w:tc>
        <w:tc>
          <w:tcPr>
            <w:tcW w:w="506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0.95亿元 / 1628万元</w:t>
            </w:r>
          </w:p>
        </w:tc>
        <w:tc>
          <w:tcPr>
            <w:tcW w:w="469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单季扭亏；营收YoY +10.06%</w:t>
            </w:r>
          </w:p>
        </w:tc>
      </w:tr>
      <w:tr>
        <w:trPr>
          <w:trHeight w:val="510" w:hRule="atLeast"/>
        </w:trPr>
        <w:tc>
          <w:tcPr>
            <w:tcW w:w="3866"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2025前三季经营现金流净额</w:t>
            </w:r>
          </w:p>
        </w:tc>
        <w:tc>
          <w:tcPr>
            <w:tcW w:w="506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-281万元</w:t>
            </w:r>
          </w:p>
        </w:tc>
        <w:tc>
          <w:tcPr>
            <w:tcW w:w="469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同比改善87.76%</w:t>
            </w:r>
          </w:p>
        </w:tc>
      </w:tr>
      <w:tr>
        <w:trPr>
          <w:trHeight w:val="510" w:hRule="atLeast"/>
        </w:trPr>
        <w:tc>
          <w:tcPr>
            <w:tcW w:w="3866"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最新股价/市值/PE</w:t>
            </w:r>
          </w:p>
        </w:tc>
        <w:tc>
          <w:tcPr>
            <w:tcW w:w="506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6.63元 / 62.80亿元 / TTM为负</w:t>
            </w:r>
          </w:p>
        </w:tc>
        <w:tc>
          <w:tcPr>
            <w:tcW w:w="469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2025-12-12口径</w:t>
            </w:r>
          </w:p>
        </w:tc>
      </w:tr>
    </w:tbl>
    <w:p>
      <w:pPr>
        <w:spacing w:before="269" w:after="269"/>
        <w:ind w:left="120"/>
        <w:jc w:val="left"/>
      </w:pPr>
      <w:r>
        <w:rPr>
          <w:rFonts w:ascii="Times New Roman" w:hAnsi="Times New Roman"/>
          <w:b w:val="false"/>
          <w:i w:val="false"/>
          <w:color w:val="000000"/>
          <w:sz w:val="22"/>
        </w:rPr>
        <w:t>——</w:t>
      </w:r>
    </w:p>
    <w:p>
      <w:pPr>
        <w:spacing w:before="269" w:after="269"/>
        <w:ind w:left="120"/>
        <w:jc w:val="left"/>
      </w:pPr>
      <w:r>
        <w:rPr>
          <w:rFonts w:ascii="Times New Roman" w:hAnsi="Times New Roman"/>
          <w:b w:val="false"/>
          <w:i w:val="false"/>
          <w:color w:val="000000"/>
          <w:sz w:val="22"/>
        </w:rPr>
        <w:t>风险提示：渠道修复不及预期、授权IP产品爆款转化不及预期、美国关税或汇率不利波动、费用投入回收期延长。</w:t>
      </w:r>
    </w:p>
    <w:p>
      <w:pPr>
        <w:spacing w:before="180" w:after="180"/>
        <w:ind w:left="120"/>
        <w:jc w:val="left"/>
      </w:pPr>
      <w:r>
        <w:rPr>
          <w:rFonts w:ascii="Times New Roman" w:hAnsi="Times New Roman"/>
          <w:b/>
          <w:i w:val="false"/>
          <w:color w:val="000000"/>
          <w:sz w:val="33"/>
        </w:rPr>
        <w:t>【可能延伸的思考维度】</w:t>
      </w:r>
    </w:p>
    <w:p>
      <w:pPr>
        <w:numPr>
          <w:ilvl w:val="0"/>
          <w:numId w:val="9"/>
        </w:numPr>
        <w:spacing w:before="0" w:after="0"/>
        <w:jc w:val="left"/>
      </w:pPr>
      <w:r>
        <w:rPr>
          <w:rFonts w:ascii="Times New Roman" w:hAnsi="Times New Roman"/>
          <w:b w:val="false"/>
          <w:i w:val="false"/>
          <w:color w:val="000000"/>
          <w:sz w:val="22"/>
        </w:rPr>
        <w:t>以“授权IP矩阵+礼赠渠道”打造年度爆款的产品与营销打法清单（含单品GM/PM目标与ROI阈值）。</w:t>
      </w:r>
    </w:p>
    <w:p>
      <w:pPr>
        <w:numPr>
          <w:ilvl w:val="0"/>
          <w:numId w:val="9"/>
        </w:numPr>
        <w:spacing w:before="0" w:after="0"/>
        <w:jc w:val="left"/>
      </w:pPr>
      <w:r>
        <w:rPr>
          <w:rFonts w:ascii="Times New Roman" w:hAnsi="Times New Roman"/>
          <w:b w:val="false"/>
          <w:i w:val="false"/>
          <w:color w:val="000000"/>
          <w:sz w:val="22"/>
        </w:rPr>
        <w:t>针对美国与东南亚的两套差异化SKU与价格带策略（含关税/物流/渠道费用敏感性）。</w:t>
      </w:r>
    </w:p>
    <w:p>
      <w:pPr>
        <w:numPr>
          <w:ilvl w:val="0"/>
          <w:numId w:val="9"/>
        </w:numPr>
        <w:spacing w:before="0" w:after="0"/>
        <w:jc w:val="left"/>
      </w:pPr>
      <w:r>
        <w:rPr>
          <w:rFonts w:ascii="Times New Roman" w:hAnsi="Times New Roman"/>
          <w:b w:val="false"/>
          <w:i w:val="false"/>
          <w:color w:val="000000"/>
          <w:sz w:val="22"/>
        </w:rPr>
        <w:t>费用率—现金流“双改”路径图：销售费用细分（IP费、投放、KA进场费）与周转指标（回款天数/库存天数）改善里程碑设置。</w:t>
      </w:r>
    </w:p>
    <w:sectPr>
      <w:pgSz w:w="11907" w:h="16839" w:code="9"/>
      <w:pgMar w:top="1440" w:right="1440" w:bottom="1440" w:left="1440"/>
    </w:sectPr>
  </w:body>
</w:document>
</file>

<file path=word/numbering.xml><?xml version="1.0" encoding="utf-8"?>
<w:numbering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1">
    <w:multiLevelType w:val="multilevel"/>
    <w:lvl w:ilvl="0">
      <w:start w:val="1"/>
      <w:numFmt w:val="bullet"/>
      <w:lvlText w:val=""/>
      <w:lvlJc w:val="left"/>
      <w:pPr>
        <w:ind w:left="960" w:hanging="360"/>
      </w:pPr>
      <w:rPr>
        <w:rFonts w:hint="default" w:ascii="Symbol" w:hAnsi="Symbol"/>
      </w:rPr>
    </w:lvl>
  </w:abstractNum>
  <w:abstractNum w:abstractNumId="2">
    <w:multiLevelType w:val="multilevel"/>
    <w:lvl w:ilvl="0">
      <w:start w:val="1"/>
      <w:numFmt w:val="bullet"/>
      <w:lvlText w:val=""/>
      <w:lvlJc w:val="left"/>
      <w:pPr>
        <w:ind w:left="960" w:hanging="360"/>
      </w:pPr>
      <w:rPr>
        <w:rFonts w:hint="default" w:ascii="Symbol" w:hAnsi="Symbol"/>
      </w:rPr>
    </w:lvl>
  </w:abstractNum>
  <w:abstractNum w:abstractNumId="3">
    <w:multiLevelType w:val="multilevel"/>
    <w:lvl w:ilvl="0">
      <w:start w:val="1"/>
      <w:numFmt w:val="bullet"/>
      <w:lvlText w:val=""/>
      <w:lvlJc w:val="left"/>
      <w:pPr>
        <w:ind w:left="960" w:hanging="360"/>
      </w:pPr>
      <w:rPr>
        <w:rFonts w:hint="default" w:ascii="Symbol" w:hAnsi="Symbol"/>
      </w:rPr>
    </w:lvl>
  </w:abstractNum>
  <w:abstractNum w:abstractNumId="4">
    <w:multiLevelType w:val="multilevel"/>
    <w:lvl w:ilvl="0">
      <w:start w:val="1"/>
      <w:numFmt w:val="bullet"/>
      <w:lvlText w:val=""/>
      <w:lvlJc w:val="left"/>
      <w:pPr>
        <w:ind w:left="960" w:hanging="360"/>
      </w:pPr>
      <w:rPr>
        <w:rFonts w:hint="default" w:ascii="Symbol" w:hAnsi="Symbol"/>
      </w:rPr>
    </w:lvl>
  </w:abstractNum>
  <w:abstractNum w:abstractNumId="5">
    <w:multiLevelType w:val="multilevel"/>
    <w:lvl w:ilvl="0">
      <w:start w:val="1"/>
      <w:numFmt w:val="bullet"/>
      <w:lvlText w:val=""/>
      <w:lvlJc w:val="left"/>
      <w:pPr>
        <w:ind w:left="960" w:hanging="360"/>
      </w:pPr>
      <w:rPr>
        <w:rFonts w:hint="default" w:ascii="Symbol" w:hAnsi="Symbol"/>
      </w:rPr>
    </w:lvl>
  </w:abstractNum>
  <w:abstractNum w:abstractNumId="6">
    <w:multiLevelType w:val="multilevel"/>
    <w:lvl w:ilvl="0">
      <w:start w:val="1"/>
      <w:numFmt w:val="bullet"/>
      <w:lvlText w:val=""/>
      <w:lvlJc w:val="left"/>
      <w:pPr>
        <w:ind w:left="960" w:hanging="360"/>
      </w:pPr>
      <w:rPr>
        <w:rFonts w:hint="default" w:ascii="Symbol" w:hAnsi="Symbol"/>
      </w:rPr>
    </w:lvl>
  </w:abstractNum>
  <w:abstractNum w:abstractNumId="7">
    <w:multiLevelType w:val="multilevel"/>
    <w:lvl w:ilvl="0">
      <w:start w:val="1"/>
      <w:numFmt w:val="bullet"/>
      <w:lvlText w:val=""/>
      <w:lvlJc w:val="left"/>
      <w:pPr>
        <w:ind w:left="960" w:hanging="360"/>
      </w:pPr>
      <w:rPr>
        <w:rFonts w:hint="default" w:ascii="Symbol" w:hAnsi="Symbol"/>
      </w:rPr>
    </w:lvl>
  </w:abstractNum>
  <w:abstractNum w:abstractNumId="8">
    <w:multiLevelType w:val="multilevel"/>
    <w:lvl w:ilvl="0">
      <w:start w:val="1"/>
      <w:numFmt w:val="bullet"/>
      <w:lvlText w:val=""/>
      <w:lvlJc w:val="left"/>
      <w:pPr>
        <w:ind w:left="960" w:hanging="360"/>
      </w:pPr>
      <w:rPr>
        <w:rFonts w:hint="default" w:ascii="Symbol" w:hAnsi="Symbol"/>
      </w:rPr>
    </w:lvl>
  </w:abstractNum>
  <w:abstractNum w:abstractNumId="9">
    <w:multiLevelType w:val="multilevel"/>
    <w:lvl w:ilvl="0">
      <w:start w:val="1"/>
      <w:numFmt w:val="bullet"/>
      <w:lvlText w:val=""/>
      <w:lvlJc w:val="left"/>
      <w:pPr>
        <w:ind w:left="960" w:hanging="360"/>
      </w:pPr>
      <w:rPr>
        <w:rFonts w:hint="default" w:ascii="Symbol" w:hAnsi="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jpeg" Type="http://schemas.openxmlformats.org/officeDocument/2006/relationships/image" Id="rId4"/>
    <Relationship Target="media/document_image_rId5.jpeg" Type="http://schemas.openxmlformats.org/officeDocument/2006/relationships/image" Id="rId5"/>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