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9 (Apache licensed) using REFERENCE JAXB in Oracle Java 1.8.0_321 on Linux -->
    <w:p>
      <w:pPr>
        <w:spacing w:before="300" w:after="300"/>
        <w:ind w:left="120"/>
        <w:jc w:val="center"/>
      </w:pPr>
      <w:r>
        <w:rPr>
          <w:rFonts w:ascii="Times New Roman" w:hAnsi="Times New Roman"/>
          <w:b/>
          <w:i w:val="false"/>
          <w:color w:val="000000"/>
          <w:sz w:val="30"/>
        </w:rPr>
        <w:t xml:space="preserve"> 请深入挖掘上市公司百大集团最新的业务进展... </w:t>
      </w:r>
    </w:p>
    <w:p>
      <w:pPr>
        <w:spacing w:before="269" w:after="269"/>
        <w:ind w:left="120"/>
        <w:jc w:val="left"/>
      </w:pPr>
      <w:r>
        <w:rPr>
          <w:rFonts w:ascii="Times New Roman" w:hAnsi="Times New Roman"/>
          <w:b/>
          <w:i w:val="false"/>
          <w:color w:val="000000"/>
          <w:sz w:val="22"/>
        </w:rPr>
        <w:t>百大集团（600865.SH）业务进展深度剖析与2025-2026年潜在投资机会研究报告</w:t>
      </w:r>
    </w:p>
    <w:p>
      <w:pPr>
        <w:spacing w:before="161" w:after="161"/>
        <w:ind w:left="120"/>
        <w:jc w:val="left"/>
      </w:pPr>
      <w:r>
        <w:rPr>
          <w:rFonts w:ascii="Times New Roman" w:hAnsi="Times New Roman"/>
          <w:b/>
          <w:i w:val="false"/>
          <w:color w:val="000000"/>
          <w:sz w:val="44"/>
        </w:rPr>
        <w:t>核心结论</w:t>
      </w:r>
    </w:p>
    <w:p>
      <w:pPr>
        <w:numPr>
          <w:ilvl w:val="0"/>
          <w:numId w:val="1"/>
        </w:numPr>
        <w:spacing w:before="0" w:after="0"/>
        <w:jc w:val="left"/>
      </w:pPr>
      <w:r>
        <w:rPr>
          <w:rFonts w:ascii="Times New Roman" w:hAnsi="Times New Roman"/>
          <w:b/>
          <w:i w:val="false"/>
          <w:color w:val="000000"/>
          <w:sz w:val="22"/>
        </w:rPr>
        <w:t>行业格局与机会</w:t>
      </w:r>
      <w:r>
        <w:rPr>
          <w:rFonts w:ascii="Times New Roman" w:hAnsi="Times New Roman"/>
          <w:b w:val="false"/>
          <w:i w:val="false"/>
          <w:color w:val="000000"/>
          <w:sz w:val="22"/>
        </w:rPr>
        <w:t>：零售行业进入**“低增速+高分化+政策托底”新常态**，百货仅弱修复（</w:t>
      </w:r>
      <w:r>
        <w:rPr>
          <w:rFonts w:ascii="Times New Roman" w:hAnsi="Times New Roman"/>
          <w:b/>
          <w:i w:val="false"/>
          <w:color w:val="000000"/>
          <w:sz w:val="22"/>
        </w:rPr>
        <w:t>~1%增速</w:t>
      </w:r>
      <w:r>
        <w:rPr>
          <w:rFonts w:ascii="Times New Roman" w:hAnsi="Times New Roman"/>
          <w:b w:val="false"/>
          <w:i w:val="false"/>
          <w:color w:val="000000"/>
          <w:sz w:val="22"/>
        </w:rPr>
        <w:t>），超市与便利店维持</w:t>
      </w:r>
      <w:r>
        <w:rPr>
          <w:rFonts w:ascii="Times New Roman" w:hAnsi="Times New Roman"/>
          <w:b/>
          <w:i w:val="false"/>
          <w:color w:val="000000"/>
          <w:sz w:val="22"/>
        </w:rPr>
        <w:t>4%-10%较高景气</w:t>
      </w:r>
      <w:r>
        <w:rPr>
          <w:rFonts w:ascii="Times New Roman" w:hAnsi="Times New Roman"/>
          <w:b w:val="false"/>
          <w:i w:val="false"/>
          <w:color w:val="000000"/>
          <w:sz w:val="22"/>
        </w:rPr>
        <w:t>。线下高能级商圈供给并不过剩，</w:t>
      </w:r>
      <w:r>
        <w:rPr>
          <w:rFonts w:ascii="Times New Roman" w:hAnsi="Times New Roman"/>
          <w:b/>
          <w:i w:val="false"/>
          <w:color w:val="000000"/>
          <w:sz w:val="22"/>
        </w:rPr>
        <w:t>杭州武林商圈空置率仅4.7%</w:t>
      </w:r>
      <w:r>
        <w:rPr>
          <w:rFonts w:ascii="Times New Roman" w:hAnsi="Times New Roman"/>
          <w:b w:val="false"/>
          <w:i w:val="false"/>
          <w:color w:val="000000"/>
          <w:sz w:val="22"/>
        </w:rPr>
        <w:t>，重奢/情绪消费场景成为增量主战场，但百大在重奢与新消费运营上的α有限。</w:t>
      </w:r>
    </w:p>
    <w:p>
      <w:pPr>
        <w:numPr>
          <w:ilvl w:val="0"/>
          <w:numId w:val="1"/>
        </w:numPr>
        <w:spacing w:before="0" w:after="0"/>
        <w:jc w:val="left"/>
      </w:pPr>
      <w:r>
        <w:rPr>
          <w:rFonts w:ascii="Times New Roman" w:hAnsi="Times New Roman"/>
          <w:b/>
          <w:i w:val="false"/>
          <w:color w:val="000000"/>
          <w:sz w:val="22"/>
        </w:rPr>
        <w:t>公司定位与竞争力</w:t>
      </w:r>
      <w:r>
        <w:rPr>
          <w:rFonts w:ascii="Times New Roman" w:hAnsi="Times New Roman"/>
          <w:b w:val="false"/>
          <w:i w:val="false"/>
          <w:color w:val="000000"/>
          <w:sz w:val="22"/>
        </w:rPr>
        <w:t>：百大当前核心价值不在“零售运营”，而在</w:t>
      </w:r>
      <w:r>
        <w:rPr>
          <w:rFonts w:ascii="Times New Roman" w:hAnsi="Times New Roman"/>
          <w:b/>
          <w:i w:val="false"/>
          <w:color w:val="000000"/>
          <w:sz w:val="22"/>
        </w:rPr>
        <w:t>武林核心商圈稀缺物业+托管/租赁的类REITs模式</w:t>
      </w:r>
      <w:r>
        <w:rPr>
          <w:rFonts w:ascii="Times New Roman" w:hAnsi="Times New Roman"/>
          <w:b w:val="false"/>
          <w:i w:val="false"/>
          <w:color w:val="000000"/>
          <w:sz w:val="22"/>
        </w:rPr>
        <w:t>：托管期内依靠杭州百货大楼委托利润和马上消费金融等获取稳定现金流，2028年起与恒隆签订的**20年、首年租金1.5亿元、每三年递增4.5%**长约将重构现金流与估值，是未来5–10年重估主线。</w:t>
      </w:r>
    </w:p>
    <w:p>
      <w:pPr>
        <w:numPr>
          <w:ilvl w:val="0"/>
          <w:numId w:val="1"/>
        </w:numPr>
        <w:spacing w:before="0" w:after="0"/>
        <w:jc w:val="left"/>
      </w:pPr>
      <w:r>
        <w:rPr>
          <w:rFonts w:ascii="Times New Roman" w:hAnsi="Times New Roman"/>
          <w:b/>
          <w:i w:val="false"/>
          <w:color w:val="000000"/>
          <w:sz w:val="22"/>
        </w:rPr>
        <w:t>盈利结构、估值与风险</w:t>
      </w:r>
      <w:r>
        <w:rPr>
          <w:rFonts w:ascii="Times New Roman" w:hAnsi="Times New Roman"/>
          <w:b w:val="false"/>
          <w:i w:val="false"/>
          <w:color w:val="000000"/>
          <w:sz w:val="22"/>
        </w:rPr>
        <w:t>：2025-2026年公司呈现**“主业现金流稳、金融资产波动大”</w:t>
      </w:r>
      <w:r>
        <w:rPr>
          <w:rFonts w:ascii="Times New Roman" w:hAnsi="Times New Roman"/>
          <w:b/>
          <w:i w:val="false"/>
          <w:color w:val="000000"/>
          <w:sz w:val="22"/>
        </w:rPr>
        <w:t>特征，扣非ROE中枢约</w:t>
      </w:r>
      <w:r>
        <w:rPr>
          <w:rFonts w:ascii="Times New Roman" w:hAnsi="Times New Roman"/>
          <w:b w:val="false"/>
          <w:i w:val="false"/>
          <w:color w:val="000000"/>
          <w:sz w:val="22"/>
        </w:rPr>
        <w:t>4%-6%</w:t>
      </w:r>
      <w:r>
        <w:rPr>
          <w:rFonts w:ascii="Times New Roman" w:hAnsi="Times New Roman"/>
          <w:b/>
          <w:i w:val="false"/>
          <w:color w:val="000000"/>
          <w:sz w:val="22"/>
        </w:rPr>
        <w:t>，估值应按</w:t>
      </w:r>
      <w:r>
        <w:rPr>
          <w:rFonts w:ascii="Times New Roman" w:hAnsi="Times New Roman"/>
          <w:b w:val="false"/>
          <w:i w:val="false"/>
          <w:color w:val="000000"/>
          <w:sz w:val="22"/>
        </w:rPr>
        <w:t>PB+清算价值</w:t>
      </w:r>
      <w:r>
        <w:rPr>
          <w:rFonts w:ascii="Times New Roman" w:hAnsi="Times New Roman"/>
          <w:b/>
          <w:i w:val="false"/>
          <w:color w:val="000000"/>
          <w:sz w:val="22"/>
        </w:rPr>
        <w:t>框架看作“资产平台”而非高成长消费股。关键风险在于</w:t>
      </w:r>
      <w:r>
        <w:rPr>
          <w:rFonts w:ascii="Times New Roman" w:hAnsi="Times New Roman"/>
          <w:b w:val="false"/>
          <w:i w:val="false"/>
          <w:color w:val="000000"/>
          <w:sz w:val="22"/>
        </w:rPr>
        <w:t>金地商置、杭工商信托等地产相关投资的减值/处置节奏**与二股东减持预期，决定业绩底与估值折价收敛速度。</w:t>
      </w:r>
    </w:p>
    <w:p>
      <w:pPr>
        <w:spacing w:before="161" w:after="161"/>
        <w:ind w:left="120"/>
        <w:jc w:val="left"/>
      </w:pPr>
      <w:r>
        <w:rPr>
          <w:rFonts w:ascii="Times New Roman" w:hAnsi="Times New Roman"/>
          <w:b/>
          <w:i w:val="false"/>
          <w:color w:val="000000"/>
          <w:sz w:val="44"/>
        </w:rPr>
        <w:t>一、零售行业宏观环境演变与2025-2026年增长预期</w:t>
      </w:r>
    </w:p>
    <w:p>
      <w:pPr>
        <w:spacing w:before="269" w:after="269"/>
        <w:ind w:left="120"/>
        <w:jc w:val="left"/>
      </w:pPr>
      <w:r>
        <w:rPr>
          <w:rFonts w:ascii="Times New Roman" w:hAnsi="Times New Roman"/>
          <w:b w:val="false"/>
          <w:i w:val="false"/>
          <w:color w:val="000000"/>
          <w:sz w:val="22"/>
        </w:rPr>
        <w:t>在外需高位回落、关税不确定性抬升的大背景下，</w:t>
      </w:r>
      <w:r>
        <w:rPr>
          <w:rFonts w:ascii="Times New Roman" w:hAnsi="Times New Roman"/>
          <w:b/>
          <w:i w:val="false"/>
          <w:color w:val="000000"/>
          <w:sz w:val="22"/>
        </w:rPr>
        <w:t>中国消费被确认为2025-2026年宏观调控的“第一抓手”，内需主导格局进一步强化，社零名义增速大致稳定在约4%左右的平台区间</w:t>
      </w:r>
      <w:r>
        <w:rPr>
          <w:rFonts w:ascii="Times New Roman" w:hAnsi="Times New Roman"/>
          <w:b w:val="false"/>
          <w:i w:val="false"/>
          <w:color w:val="000000"/>
          <w:sz w:val="22"/>
        </w:rPr>
        <w:t>，对应线下零售（购物中心、百货、超市、便利店等）总体温和复苏但难以出现高景气行情。</w:t>
      </w:r>
    </w:p>
    <w:p>
      <w:pPr>
        <w:spacing w:before="269" w:after="269"/>
        <w:ind w:left="120"/>
        <w:jc w:val="left"/>
      </w:pPr>
      <w:r>
        <w:rPr>
          <w:rFonts w:ascii="Times New Roman" w:hAnsi="Times New Roman"/>
          <w:b w:val="false"/>
          <w:i w:val="false"/>
          <w:color w:val="000000"/>
          <w:sz w:val="22"/>
        </w:rPr>
        <w:t>从结构上看，</w:t>
      </w:r>
      <w:r>
        <w:rPr>
          <w:rFonts w:ascii="Times New Roman" w:hAnsi="Times New Roman"/>
          <w:b/>
          <w:i w:val="false"/>
          <w:color w:val="000000"/>
          <w:sz w:val="22"/>
        </w:rPr>
        <w:t>实体零售整体承压，但不同业态高度分化</w:t>
      </w:r>
      <w:r>
        <w:rPr>
          <w:rFonts w:ascii="Times New Roman" w:hAnsi="Times New Roman"/>
          <w:b w:val="false"/>
          <w:i w:val="false"/>
          <w:color w:val="000000"/>
          <w:sz w:val="22"/>
        </w:rPr>
        <w:t>：百货业态在2024年显著负增长之后，于2025年转为小幅正增长、仍处弱修复阶段；超市保持中低个位数稳健增长；便利店维持中高个位数的较高景气，是少数能明确跑赢社零的大型渠道业态。 叠加2025-2026年“以旧换新+国补+消费券”等政策延续但边际效应趋弱、出口波动与“内需-外贸跷跷板效应”持续，预计零售行业整体进入**“低增速+高分化+政策托底”的新常态**。对百大集团这类区域性百货/购物中心+超市+便利店综合零售商而言，</w:t>
      </w:r>
      <w:r>
        <w:rPr>
          <w:rFonts w:ascii="Times New Roman" w:hAnsi="Times New Roman"/>
          <w:b/>
          <w:i w:val="false"/>
          <w:color w:val="000000"/>
          <w:sz w:val="22"/>
        </w:rPr>
        <w:t>行业贝塔有限，核心在于：通过门店结构调整、向超市和便利店等韧性业态倾斜、叠加供应链与运营效率优化，实现ROE与估值的结构性修复。</w:t>
      </w:r>
    </w:p>
    <w:p>
      <w:pPr>
        <w:spacing w:before="180" w:after="180"/>
        <w:ind w:left="120"/>
        <w:jc w:val="left"/>
      </w:pPr>
      <w:r>
        <w:rPr>
          <w:rFonts w:ascii="Times New Roman" w:hAnsi="Times New Roman"/>
          <w:b/>
          <w:i w:val="false"/>
          <w:color w:val="000000"/>
          <w:sz w:val="33"/>
        </w:rPr>
        <w:t>1.1 宏观消费环境：从“外需支撑”转向“内需主导”</w:t>
      </w:r>
    </w:p>
    <w:p>
      <w:pPr>
        <w:spacing w:before="199" w:after="199"/>
        <w:ind w:left="120"/>
        <w:jc w:val="left"/>
      </w:pPr>
      <w:r>
        <w:rPr>
          <w:rFonts w:ascii="Times New Roman" w:hAnsi="Times New Roman"/>
          <w:b/>
          <w:i w:val="false"/>
          <w:color w:val="000000"/>
          <w:sz w:val="26"/>
        </w:rPr>
        <w:t>1.1.1 社零总量：2024-2025年温和回升、前高后低</w:t>
      </w:r>
    </w:p>
    <w:p>
      <w:pPr>
        <w:spacing w:before="269" w:after="269"/>
        <w:ind w:left="120"/>
        <w:jc w:val="left"/>
      </w:pPr>
      <w:r>
        <w:rPr>
          <w:rFonts w:ascii="Times New Roman" w:hAnsi="Times New Roman"/>
          <w:b w:val="false"/>
          <w:i w:val="false"/>
          <w:color w:val="000000"/>
          <w:sz w:val="22"/>
        </w:rPr>
        <w:t>2024年以来，中国社会消费品零售总额增速在3%上下波动，2025年在政策加码背景下略有抬升。</w:t>
      </w:r>
    </w:p>
    <w:p>
      <w:pPr>
        <w:spacing w:before="269" w:after="269"/>
        <w:ind w:left="120"/>
        <w:jc w:val="left"/>
      </w:pPr>
      <w:r>
        <w:rPr>
          <w:rFonts w:ascii="Times New Roman" w:hAnsi="Times New Roman"/>
          <w:b/>
          <w:i w:val="false"/>
          <w:color w:val="000000"/>
          <w:sz w:val="22"/>
        </w:rPr>
        <w:t>表1：中国社零增速与结构概览</w:t>
      </w:r>
    </w:p>
    <w:tbl>
      <w:tblPr>
        <w:tblW w:w="0" w:type="auto"/>
        <w:tblCellSpacing w:w="0" w:type="auto"/>
        <w:tblInd w:w="115" w:type="dxa"/>
        <w:tblBorders>
          <w:top w:val="single" w:color="aaaaaa" w:sz="8"/>
          <w:left w:val="single" w:color="aaaaaa" w:sz="8"/>
          <w:bottom w:val="single" w:color="aaaaaa" w:sz="8"/>
          <w:right w:val="single" w:color="aaaaaa" w:sz="8"/>
          <w:insideH w:val="none"/>
          <w:insideV w:val="none"/>
        </w:tblBorders>
      </w:tblPr>
      <w:tblGrid>
        <w:gridCol w:w="1984"/>
        <w:gridCol w:w="4606"/>
        <w:gridCol w:w="7044"/>
      </w:tblGrid>
      <w:tr>
        <w:trPr>
          <w:trHeight w:val="525" w:hRule="atLeast"/>
        </w:trPr>
        <w:tc>
          <w:tcPr>
            <w:tcW w:w="1984"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指标</w:t>
            </w:r>
          </w:p>
        </w:tc>
        <w:tc>
          <w:tcPr>
            <w:tcW w:w="4606"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2024年/近期表现</w:t>
            </w:r>
          </w:p>
        </w:tc>
        <w:tc>
          <w:tcPr>
            <w:tcW w:w="7044"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2025年以来表现及预测</w:t>
            </w:r>
          </w:p>
        </w:tc>
      </w:tr>
      <w:tr>
        <w:trPr>
          <w:trHeight w:val="780" w:hRule="atLeast"/>
        </w:trPr>
        <w:tc>
          <w:tcPr>
            <w:tcW w:w="1984"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社零当月同比</w:t>
            </w:r>
          </w:p>
        </w:tc>
        <w:tc>
          <w:tcPr>
            <w:tcW w:w="4606"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2024年3-12月大致在**2.1%-4.8%**区间震荡</w:t>
            </w:r>
          </w:p>
        </w:tc>
        <w:tc>
          <w:tcPr>
            <w:tcW w:w="7044"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2025年3-11月在**1.3%-6.4%**之间波动，5-6月阶段性拉升，10-11月明显回落</w:t>
            </w:r>
          </w:p>
        </w:tc>
      </w:tr>
      <w:tr>
        <w:trPr>
          <w:trHeight w:val="525" w:hRule="atLeast"/>
        </w:trPr>
        <w:tc>
          <w:tcPr>
            <w:tcW w:w="1984"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社零累计同比</w:t>
            </w:r>
          </w:p>
        </w:tc>
        <w:tc>
          <w:tcPr>
            <w:tcW w:w="4606"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2024年全年约</w:t>
            </w:r>
            <w:r>
              <w:rPr>
                <w:rFonts w:ascii="Times New Roman" w:hAnsi="Times New Roman"/>
                <w:b/>
                <w:i w:val="false"/>
                <w:color w:val="000000"/>
                <w:sz w:val="22"/>
              </w:rPr>
              <w:t>3.5%</w:t>
            </w:r>
          </w:p>
        </w:tc>
        <w:tc>
          <w:tcPr>
            <w:tcW w:w="7044"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2025年1-11月累计</w:t>
            </w:r>
            <w:r>
              <w:rPr>
                <w:rFonts w:ascii="Times New Roman" w:hAnsi="Times New Roman"/>
                <w:b/>
                <w:i w:val="false"/>
                <w:color w:val="000000"/>
                <w:sz w:val="22"/>
              </w:rPr>
              <w:t>4.0%</w:t>
            </w:r>
            <w:r>
              <w:rPr>
                <w:rFonts w:ascii="Times New Roman" w:hAnsi="Times New Roman"/>
                <w:b w:val="false"/>
                <w:i w:val="false"/>
                <w:color w:val="000000"/>
                <w:sz w:val="22"/>
              </w:rPr>
              <w:t>，全年预计约</w:t>
            </w:r>
            <w:r>
              <w:rPr>
                <w:rFonts w:ascii="Times New Roman" w:hAnsi="Times New Roman"/>
                <w:b/>
                <w:i w:val="false"/>
                <w:color w:val="000000"/>
                <w:sz w:val="22"/>
              </w:rPr>
              <w:t>4.0%</w:t>
            </w:r>
          </w:p>
        </w:tc>
      </w:tr>
      <w:tr>
        <w:trPr>
          <w:trHeight w:val="780" w:hRule="atLeast"/>
        </w:trPr>
        <w:tc>
          <w:tcPr>
            <w:tcW w:w="1984"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剔除价格因素社零实质增速</w:t>
            </w:r>
          </w:p>
        </w:tc>
        <w:tc>
          <w:tcPr>
            <w:tcW w:w="4606"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2024年部分月份在**3.9%-6.2%**之间</w:t>
            </w:r>
          </w:p>
        </w:tc>
        <w:tc>
          <w:tcPr>
            <w:tcW w:w="7044"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价格环境偏弱，实质增速略高于名义增速</w:t>
            </w:r>
          </w:p>
        </w:tc>
      </w:tr>
      <w:tr>
        <w:trPr>
          <w:trHeight w:val="780" w:hRule="atLeast"/>
        </w:trPr>
        <w:tc>
          <w:tcPr>
            <w:tcW w:w="1984"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商品零售 vs 餐饮收入</w:t>
            </w:r>
          </w:p>
        </w:tc>
        <w:tc>
          <w:tcPr>
            <w:tcW w:w="4606"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2024-2025年餐饮增速整体高于商品零售，服务消费韧性更强</w:t>
            </w:r>
          </w:p>
        </w:tc>
        <w:tc>
          <w:tcPr>
            <w:tcW w:w="7044"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服务消费对总消费贡献上升</w:t>
            </w:r>
          </w:p>
        </w:tc>
      </w:tr>
    </w:tbl>
    <w:p>
      <w:pPr>
        <w:spacing w:before="269" w:after="269"/>
        <w:ind w:left="120"/>
        <w:jc w:val="left"/>
      </w:pPr>
      <w:r>
        <w:rPr>
          <w:rFonts w:ascii="Times New Roman" w:hAnsi="Times New Roman"/>
          <w:b w:val="false"/>
          <w:i w:val="false"/>
          <w:color w:val="000000"/>
          <w:sz w:val="22"/>
        </w:rPr>
        <w:t>2025年3月，在“提振消费专项行动方案”推动下，社零总额同比</w:t>
      </w:r>
      <w:r>
        <w:rPr>
          <w:rFonts w:ascii="Times New Roman" w:hAnsi="Times New Roman"/>
          <w:b/>
          <w:i w:val="false"/>
          <w:color w:val="000000"/>
          <w:sz w:val="22"/>
        </w:rPr>
        <w:t>5.9%</w:t>
      </w:r>
      <w:r>
        <w:rPr>
          <w:rFonts w:ascii="Times New Roman" w:hAnsi="Times New Roman"/>
          <w:b w:val="false"/>
          <w:i w:val="false"/>
          <w:color w:val="000000"/>
          <w:sz w:val="22"/>
        </w:rPr>
        <w:t>，明显超预期，其中商品零售同比</w:t>
      </w:r>
      <w:r>
        <w:rPr>
          <w:rFonts w:ascii="Times New Roman" w:hAnsi="Times New Roman"/>
          <w:b/>
          <w:i w:val="false"/>
          <w:color w:val="000000"/>
          <w:sz w:val="22"/>
        </w:rPr>
        <w:t>5.9%</w:t>
      </w:r>
      <w:r>
        <w:rPr>
          <w:rFonts w:ascii="Times New Roman" w:hAnsi="Times New Roman"/>
          <w:b w:val="false"/>
          <w:i w:val="false"/>
          <w:color w:val="000000"/>
          <w:sz w:val="22"/>
        </w:rPr>
        <w:t>，剔汽车后限上商品零售同比</w:t>
      </w:r>
      <w:r>
        <w:rPr>
          <w:rFonts w:ascii="Times New Roman" w:hAnsi="Times New Roman"/>
          <w:b/>
          <w:i w:val="false"/>
          <w:color w:val="000000"/>
          <w:sz w:val="22"/>
        </w:rPr>
        <w:t>8.6%</w:t>
      </w:r>
      <w:r>
        <w:rPr>
          <w:rFonts w:ascii="Times New Roman" w:hAnsi="Times New Roman"/>
          <w:b w:val="false"/>
          <w:i w:val="false"/>
          <w:color w:val="000000"/>
          <w:sz w:val="22"/>
        </w:rPr>
        <w:t>，显示以旧换新和促消费政策短期拉动效应仍然显著。 但进入2025年四季度，多个研究对10-11月零售表现“明显转差”有所提示，佐证消费仍处脆弱修复阶段。</w:t>
      </w:r>
    </w:p>
    <w:p>
      <w:pPr>
        <w:spacing w:before="269" w:after="269"/>
        <w:ind w:left="120"/>
        <w:jc w:val="left"/>
      </w:pPr>
      <w:r>
        <w:rPr>
          <w:rFonts w:ascii="Times New Roman" w:hAnsi="Times New Roman"/>
          <w:b w:val="false"/>
          <w:i w:val="false"/>
          <w:color w:val="000000"/>
          <w:sz w:val="22"/>
        </w:rPr>
        <w:t>整体来看：</w:t>
      </w:r>
    </w:p>
    <w:p>
      <w:pPr>
        <w:numPr>
          <w:ilvl w:val="0"/>
          <w:numId w:val="2"/>
        </w:numPr>
        <w:spacing w:before="0" w:after="0"/>
        <w:jc w:val="left"/>
      </w:pPr>
      <w:r>
        <w:rPr>
          <w:rFonts w:ascii="Times New Roman" w:hAnsi="Times New Roman"/>
          <w:b/>
          <w:i w:val="false"/>
          <w:color w:val="000000"/>
          <w:sz w:val="22"/>
        </w:rPr>
        <w:t>量上</w:t>
      </w:r>
      <w:r>
        <w:rPr>
          <w:rFonts w:ascii="Times New Roman" w:hAnsi="Times New Roman"/>
          <w:b w:val="false"/>
          <w:i w:val="false"/>
          <w:color w:val="000000"/>
          <w:sz w:val="22"/>
        </w:rPr>
        <w:t>：2025年社零增速较2024年有小幅抬升（约4% vs 3.5%），但已接近中枢平台；</w:t>
      </w:r>
    </w:p>
    <w:p>
      <w:pPr>
        <w:numPr>
          <w:ilvl w:val="0"/>
          <w:numId w:val="2"/>
        </w:numPr>
        <w:spacing w:before="0" w:after="0"/>
        <w:jc w:val="left"/>
      </w:pPr>
      <w:r>
        <w:rPr>
          <w:rFonts w:ascii="Times New Roman" w:hAnsi="Times New Roman"/>
          <w:b/>
          <w:i w:val="false"/>
          <w:color w:val="000000"/>
          <w:sz w:val="22"/>
        </w:rPr>
        <w:t>结构上</w:t>
      </w:r>
      <w:r>
        <w:rPr>
          <w:rFonts w:ascii="Times New Roman" w:hAnsi="Times New Roman"/>
          <w:b w:val="false"/>
          <w:i w:val="false"/>
          <w:color w:val="000000"/>
          <w:sz w:val="22"/>
        </w:rPr>
        <w:t>：服务消费、线上渠道、新零售和部分可选品（黄金珠宝、化妆品等）表现优于传统线下零售；</w:t>
      </w:r>
    </w:p>
    <w:p>
      <w:pPr>
        <w:numPr>
          <w:ilvl w:val="0"/>
          <w:numId w:val="2"/>
        </w:numPr>
        <w:spacing w:before="0" w:after="0"/>
        <w:jc w:val="left"/>
      </w:pPr>
      <w:r>
        <w:rPr>
          <w:rFonts w:ascii="Times New Roman" w:hAnsi="Times New Roman"/>
          <w:b/>
          <w:i w:val="false"/>
          <w:color w:val="000000"/>
          <w:sz w:val="22"/>
        </w:rPr>
        <w:t>节奏上</w:t>
      </w:r>
      <w:r>
        <w:rPr>
          <w:rFonts w:ascii="Times New Roman" w:hAnsi="Times New Roman"/>
          <w:b w:val="false"/>
          <w:i w:val="false"/>
          <w:color w:val="000000"/>
          <w:sz w:val="22"/>
        </w:rPr>
        <w:t>：2025年呈现“上半年受政策拉动较强、四季度边际走弱”的前高后低格局。</w:t>
      </w:r>
    </w:p>
    <w:p>
      <w:pPr>
        <w:spacing w:before="199" w:after="199"/>
        <w:ind w:left="120"/>
        <w:jc w:val="left"/>
      </w:pPr>
      <w:r>
        <w:rPr>
          <w:rFonts w:ascii="Times New Roman" w:hAnsi="Times New Roman"/>
          <w:b/>
          <w:i w:val="false"/>
          <w:color w:val="000000"/>
          <w:sz w:val="26"/>
        </w:rPr>
        <w:t>1.1.2 出口与内需的“跷跷板”：内循环重要性持续抬升</w:t>
      </w:r>
    </w:p>
    <w:p>
      <w:pPr>
        <w:spacing w:before="269" w:after="269"/>
        <w:ind w:left="120"/>
        <w:jc w:val="left"/>
      </w:pPr>
      <w:r>
        <w:rPr>
          <w:rFonts w:ascii="Times New Roman" w:hAnsi="Times New Roman"/>
          <w:b w:val="false"/>
          <w:i w:val="false"/>
          <w:color w:val="000000"/>
          <w:sz w:val="22"/>
        </w:rPr>
        <w:t>2024年外贸对GDP贡献较大，2025年在关税不确定性与高基数下，出口对经济的边际拉动力预计减弱。</w:t>
      </w:r>
    </w:p>
    <w:p>
      <w:pPr>
        <w:numPr>
          <w:ilvl w:val="0"/>
          <w:numId w:val="3"/>
        </w:numPr>
        <w:spacing w:before="0" w:after="0"/>
        <w:jc w:val="left"/>
      </w:pPr>
      <w:r>
        <w:rPr>
          <w:rFonts w:ascii="Times New Roman" w:hAnsi="Times New Roman"/>
          <w:b w:val="false"/>
          <w:i w:val="false"/>
          <w:color w:val="000000"/>
          <w:sz w:val="22"/>
        </w:rPr>
        <w:t>2024年前三季度进出口对GDP贡献率高达</w:t>
      </w:r>
      <w:r>
        <w:rPr>
          <w:rFonts w:ascii="Times New Roman" w:hAnsi="Times New Roman"/>
          <w:b/>
          <w:i w:val="false"/>
          <w:color w:val="000000"/>
          <w:sz w:val="22"/>
        </w:rPr>
        <w:t>23.8%</w:t>
      </w:r>
      <w:r>
        <w:rPr>
          <w:rFonts w:ascii="Times New Roman" w:hAnsi="Times New Roman"/>
          <w:b w:val="false"/>
          <w:i w:val="false"/>
          <w:color w:val="000000"/>
          <w:sz w:val="22"/>
        </w:rPr>
        <w:t>，处近十年高位。</w:t>
      </w:r>
    </w:p>
    <w:p>
      <w:pPr>
        <w:numPr>
          <w:ilvl w:val="0"/>
          <w:numId w:val="3"/>
        </w:numPr>
        <w:spacing w:before="0" w:after="0"/>
        <w:jc w:val="left"/>
      </w:pPr>
      <w:r>
        <w:rPr>
          <w:rFonts w:ascii="Times New Roman" w:hAnsi="Times New Roman"/>
          <w:b w:val="false"/>
          <w:i w:val="false"/>
          <w:color w:val="000000"/>
          <w:sz w:val="22"/>
        </w:rPr>
        <w:t>2025年前8个月，中国进出口总额同比**+2.4%</w:t>
      </w:r>
      <w:r>
        <w:rPr>
          <w:rFonts w:ascii="Times New Roman" w:hAnsi="Times New Roman"/>
          <w:b/>
          <w:i w:val="false"/>
          <w:color w:val="000000"/>
          <w:sz w:val="22"/>
        </w:rPr>
        <w:t>，其中出口</w:t>
      </w:r>
      <w:r>
        <w:rPr>
          <w:rFonts w:ascii="Times New Roman" w:hAnsi="Times New Roman"/>
          <w:b w:val="false"/>
          <w:i w:val="false"/>
          <w:color w:val="000000"/>
          <w:sz w:val="22"/>
        </w:rPr>
        <w:t>+5.9%</w:t>
      </w:r>
      <w:r>
        <w:rPr>
          <w:rFonts w:ascii="Times New Roman" w:hAnsi="Times New Roman"/>
          <w:b/>
          <w:i w:val="false"/>
          <w:color w:val="000000"/>
          <w:sz w:val="22"/>
        </w:rPr>
        <w:t>，进口</w:t>
      </w:r>
      <w:r>
        <w:rPr>
          <w:rFonts w:ascii="Times New Roman" w:hAnsi="Times New Roman"/>
          <w:b w:val="false"/>
          <w:i w:val="false"/>
          <w:color w:val="000000"/>
          <w:sz w:val="22"/>
        </w:rPr>
        <w:t>-2.2%**，贸易顺差显著扩大，反映外需仍有韧性，但国内需求修复偏慢。</w:t>
      </w:r>
    </w:p>
    <w:p>
      <w:pPr>
        <w:numPr>
          <w:ilvl w:val="0"/>
          <w:numId w:val="3"/>
        </w:numPr>
        <w:spacing w:before="0" w:after="0"/>
        <w:jc w:val="left"/>
      </w:pPr>
      <w:r>
        <w:rPr>
          <w:rFonts w:ascii="Times New Roman" w:hAnsi="Times New Roman"/>
          <w:b w:val="false"/>
          <w:i w:val="false"/>
          <w:color w:val="000000"/>
          <w:sz w:val="22"/>
        </w:rPr>
        <w:t>2025年4-8月，对东盟与欧盟出口继续扩张，对美国等市场则承压，整体结构呈“非美贸易”倾斜。</w:t>
      </w:r>
    </w:p>
    <w:p>
      <w:pPr>
        <w:spacing w:before="269" w:after="269"/>
        <w:ind w:left="120"/>
        <w:jc w:val="left"/>
      </w:pPr>
      <w:r>
        <w:rPr>
          <w:rFonts w:ascii="Times New Roman" w:hAnsi="Times New Roman"/>
          <w:b w:val="false"/>
          <w:i w:val="false"/>
          <w:color w:val="000000"/>
          <w:sz w:val="22"/>
        </w:rPr>
        <w:t>在此背景下，中央将**“扩大内需”“建设强大国内市场”**反复放到宏观工作首位，政策层面明确看到“内需与外贸的跷跷板效应”：出口存在波动风险时，需要更强的消费政策对冲。</w:t>
      </w:r>
    </w:p>
    <w:p>
      <w:pPr>
        <w:spacing w:before="269" w:after="269"/>
        <w:ind w:left="120"/>
        <w:jc w:val="left"/>
      </w:pPr>
      <w:r>
        <w:rPr>
          <w:rFonts w:ascii="Times New Roman" w:hAnsi="Times New Roman"/>
          <w:b w:val="false"/>
          <w:i w:val="false"/>
          <w:color w:val="000000"/>
          <w:sz w:val="22"/>
        </w:rPr>
        <w:t>对于零售行业与百大集团而言，这意味着：</w:t>
      </w:r>
    </w:p>
    <w:p>
      <w:pPr>
        <w:numPr>
          <w:ilvl w:val="0"/>
          <w:numId w:val="4"/>
        </w:numPr>
        <w:spacing w:before="0" w:after="0"/>
        <w:jc w:val="left"/>
      </w:pPr>
      <w:r>
        <w:rPr>
          <w:rFonts w:ascii="Times New Roman" w:hAnsi="Times New Roman"/>
          <w:b/>
          <w:i w:val="false"/>
          <w:color w:val="000000"/>
          <w:sz w:val="22"/>
        </w:rPr>
        <w:t>宏观顶层设计会持续向“托底内需、稳消费”倾斜</w:t>
      </w:r>
      <w:r>
        <w:rPr>
          <w:rFonts w:ascii="Times New Roman" w:hAnsi="Times New Roman"/>
          <w:b w:val="false"/>
          <w:i w:val="false"/>
          <w:color w:val="000000"/>
          <w:sz w:val="22"/>
        </w:rPr>
        <w:t>，政策频率和强度高于上一轮周期；</w:t>
      </w:r>
    </w:p>
    <w:p>
      <w:pPr>
        <w:numPr>
          <w:ilvl w:val="0"/>
          <w:numId w:val="4"/>
        </w:numPr>
        <w:spacing w:before="0" w:after="0"/>
        <w:jc w:val="left"/>
      </w:pPr>
      <w:r>
        <w:rPr>
          <w:rFonts w:ascii="Times New Roman" w:hAnsi="Times New Roman"/>
          <w:b w:val="false"/>
          <w:i w:val="false"/>
          <w:color w:val="000000"/>
          <w:sz w:val="22"/>
        </w:rPr>
        <w:t>出口波动放大居民对未来收入预期的不确定性，对耐用品与可选消费形成掣肘，但也使得**“国内消费市场”被赋予更强战略价值与政策优先级**。</w:t>
      </w:r>
    </w:p>
    <w:p>
      <w:pPr>
        <w:spacing w:before="180" w:after="180"/>
        <w:ind w:left="120"/>
        <w:jc w:val="left"/>
      </w:pPr>
      <w:r>
        <w:rPr>
          <w:rFonts w:ascii="Times New Roman" w:hAnsi="Times New Roman"/>
          <w:b/>
          <w:i w:val="false"/>
          <w:color w:val="000000"/>
          <w:sz w:val="33"/>
        </w:rPr>
        <w:t>1.2 零售业态分化：百货承压、超市稳健、便利店高景气</w:t>
      </w:r>
    </w:p>
    <w:p>
      <w:pPr>
        <w:spacing w:before="199" w:after="199"/>
        <w:ind w:left="120"/>
        <w:jc w:val="left"/>
      </w:pPr>
      <w:r>
        <w:rPr>
          <w:rFonts w:ascii="Times New Roman" w:hAnsi="Times New Roman"/>
          <w:b/>
          <w:i w:val="false"/>
          <w:color w:val="000000"/>
          <w:sz w:val="26"/>
        </w:rPr>
        <w:t>1.2.1 线下零售整体修复，但实体仍处弱势</w:t>
      </w:r>
    </w:p>
    <w:p>
      <w:pPr>
        <w:spacing w:before="269" w:after="269"/>
        <w:ind w:left="120"/>
        <w:jc w:val="left"/>
      </w:pPr>
      <w:r>
        <w:rPr>
          <w:rFonts w:ascii="Times New Roman" w:hAnsi="Times New Roman"/>
          <w:b w:val="false"/>
          <w:i w:val="false"/>
          <w:color w:val="000000"/>
          <w:sz w:val="22"/>
        </w:rPr>
        <w:t>中国实体零售过去数年受消费信心偏弱、线上分流影响，行业景气度持续下行。2024年以来，实体零售企业经营承压更加明显，业绩仍有较大修复空间；未来12-18个月信用质量预期较此前“负面”有所改善，但修复斜率仍有限。</w:t>
      </w:r>
    </w:p>
    <w:p>
      <w:pPr>
        <w:spacing w:before="269" w:after="269"/>
        <w:ind w:left="120"/>
        <w:jc w:val="left"/>
      </w:pPr>
      <w:r>
        <w:rPr>
          <w:rFonts w:ascii="Times New Roman" w:hAnsi="Times New Roman"/>
          <w:b w:val="false"/>
          <w:i w:val="false"/>
          <w:color w:val="000000"/>
          <w:sz w:val="22"/>
        </w:rPr>
        <w:t>行业研究普遍认为：</w:t>
      </w:r>
    </w:p>
    <w:p>
      <w:pPr>
        <w:numPr>
          <w:ilvl w:val="0"/>
          <w:numId w:val="5"/>
        </w:numPr>
        <w:spacing w:before="0" w:after="0"/>
        <w:jc w:val="left"/>
      </w:pPr>
      <w:r>
        <w:rPr>
          <w:rFonts w:ascii="Times New Roman" w:hAnsi="Times New Roman"/>
          <w:b/>
          <w:i w:val="false"/>
          <w:color w:val="000000"/>
          <w:sz w:val="22"/>
        </w:rPr>
        <w:t>网络零售仍是消费增长主动力，但增速放缓</w:t>
      </w:r>
      <w:r>
        <w:rPr>
          <w:rFonts w:ascii="Times New Roman" w:hAnsi="Times New Roman"/>
          <w:b w:val="false"/>
          <w:i w:val="false"/>
          <w:color w:val="000000"/>
          <w:sz w:val="22"/>
        </w:rPr>
        <w:t>；</w:t>
      </w:r>
    </w:p>
    <w:p>
      <w:pPr>
        <w:numPr>
          <w:ilvl w:val="0"/>
          <w:numId w:val="5"/>
        </w:numPr>
        <w:spacing w:before="0" w:after="0"/>
        <w:jc w:val="left"/>
      </w:pPr>
      <w:r>
        <w:rPr>
          <w:rFonts w:ascii="Times New Roman" w:hAnsi="Times New Roman"/>
          <w:b/>
          <w:i w:val="false"/>
          <w:color w:val="000000"/>
          <w:sz w:val="22"/>
        </w:rPr>
        <w:t>实体零售整体承压，具有贴近消费者需求、全渠道服务能力与较高经营效率的企业，将获得相对增长</w:t>
      </w:r>
      <w:r>
        <w:rPr>
          <w:rFonts w:ascii="Times New Roman" w:hAnsi="Times New Roman"/>
          <w:b w:val="false"/>
          <w:i w:val="false"/>
          <w:color w:val="000000"/>
          <w:sz w:val="22"/>
        </w:rPr>
        <w:t>。</w:t>
      </w:r>
    </w:p>
    <w:p>
      <w:pPr>
        <w:spacing w:before="269" w:after="269"/>
        <w:ind w:left="120"/>
        <w:jc w:val="left"/>
      </w:pPr>
      <w:r>
        <w:rPr>
          <w:rFonts w:ascii="Times New Roman" w:hAnsi="Times New Roman"/>
          <w:b w:val="false"/>
          <w:i w:val="false"/>
          <w:color w:val="000000"/>
          <w:sz w:val="22"/>
        </w:rPr>
        <w:t>线下渠道中，购物中心板块总体处于成熟阶段，新开项目逐步减少、翻新重开占比提升，市场份额持续向头部运营商集中；2026年社零同比约</w:t>
      </w:r>
      <w:r>
        <w:rPr>
          <w:rFonts w:ascii="Times New Roman" w:hAnsi="Times New Roman"/>
          <w:b/>
          <w:i w:val="false"/>
          <w:color w:val="000000"/>
          <w:sz w:val="22"/>
        </w:rPr>
        <w:t>4%左右</w:t>
      </w:r>
      <w:r>
        <w:rPr>
          <w:rFonts w:ascii="Times New Roman" w:hAnsi="Times New Roman"/>
          <w:b w:val="false"/>
          <w:i w:val="false"/>
          <w:color w:val="000000"/>
          <w:sz w:val="22"/>
        </w:rPr>
        <w:t>，线下渠道占社零比重在</w:t>
      </w:r>
      <w:r>
        <w:rPr>
          <w:rFonts w:ascii="Times New Roman" w:hAnsi="Times New Roman"/>
          <w:b/>
          <w:i w:val="false"/>
          <w:color w:val="000000"/>
          <w:sz w:val="22"/>
        </w:rPr>
        <w:t>72%-73%</w:t>
      </w:r>
      <w:r>
        <w:rPr>
          <w:rFonts w:ascii="Times New Roman" w:hAnsi="Times New Roman"/>
          <w:b/>
          <w:i w:val="false"/>
          <w:color w:val="000000"/>
          <w:sz w:val="22"/>
        </w:rPr>
        <w:t>平台上稳定，购物中心零售额大致占社零</w:t>
      </w:r>
      <w:r>
        <w:rPr>
          <w:rFonts w:ascii="Times New Roman" w:hAnsi="Times New Roman"/>
          <w:b/>
          <w:i w:val="false"/>
          <w:color w:val="000000"/>
          <w:sz w:val="22"/>
        </w:rPr>
        <w:t>约10%-11%</w:t>
      </w:r>
      <w:r>
        <w:rPr>
          <w:rFonts w:ascii="Times New Roman" w:hAnsi="Times New Roman"/>
          <w:b w:val="false"/>
          <w:i w:val="false"/>
          <w:color w:val="000000"/>
          <w:sz w:val="22"/>
        </w:rPr>
        <w:t>。 这为拥有购物中心运营能力的百货/综合零售集团提供了稳定的客流与租金基础，但也意味着增量来自</w:t>
      </w:r>
      <w:r>
        <w:rPr>
          <w:rFonts w:ascii="Times New Roman" w:hAnsi="Times New Roman"/>
          <w:b/>
          <w:i w:val="false"/>
          <w:color w:val="000000"/>
          <w:sz w:val="22"/>
        </w:rPr>
        <w:t>存量资产的改造与效率提升</w:t>
      </w:r>
      <w:r>
        <w:rPr>
          <w:rFonts w:ascii="Times New Roman" w:hAnsi="Times New Roman"/>
          <w:b w:val="false"/>
          <w:i w:val="false"/>
          <w:color w:val="000000"/>
          <w:sz w:val="22"/>
        </w:rPr>
        <w:t>，而非粗放扩张。</w:t>
      </w:r>
    </w:p>
    <w:p>
      <w:pPr>
        <w:spacing w:before="199" w:after="199"/>
        <w:ind w:left="120"/>
        <w:jc w:val="left"/>
      </w:pPr>
      <w:r>
        <w:rPr>
          <w:rFonts w:ascii="Times New Roman" w:hAnsi="Times New Roman"/>
          <w:b/>
          <w:i w:val="false"/>
          <w:color w:val="000000"/>
          <w:sz w:val="26"/>
        </w:rPr>
        <w:t>1.2.2 各业态增速：百货弱修复，超市稳中向好，便利店领跑</w:t>
      </w:r>
    </w:p>
    <w:p>
      <w:pPr>
        <w:spacing w:before="269" w:after="269"/>
        <w:ind w:left="120"/>
        <w:jc w:val="left"/>
      </w:pPr>
      <w:r>
        <w:rPr>
          <w:rFonts w:ascii="Times New Roman" w:hAnsi="Times New Roman"/>
          <w:b w:val="false"/>
          <w:i w:val="false"/>
          <w:color w:val="000000"/>
          <w:sz w:val="22"/>
        </w:rPr>
        <w:t>国家统计局分业态数据，清晰反映了波动与分化。</w:t>
      </w:r>
    </w:p>
    <w:p>
      <w:pPr>
        <w:spacing w:before="269" w:after="269"/>
        <w:ind w:left="120"/>
        <w:jc w:val="left"/>
      </w:pPr>
      <w:r>
        <w:rPr>
          <w:rFonts w:ascii="Times New Roman" w:hAnsi="Times New Roman"/>
          <w:b/>
          <w:i w:val="false"/>
          <w:color w:val="000000"/>
          <w:sz w:val="22"/>
        </w:rPr>
        <w:t>表2：主要实体零售业态零售额增速对比（累计同比，%）</w:t>
      </w:r>
    </w:p>
    <w:tbl>
      <w:tblPr>
        <w:tblW w:w="0" w:type="auto"/>
        <w:tblCellSpacing w:w="0" w:type="auto"/>
        <w:tblInd w:w="115" w:type="dxa"/>
        <w:tblBorders>
          <w:top w:val="single" w:color="aaaaaa" w:sz="8"/>
          <w:left w:val="single" w:color="aaaaaa" w:sz="8"/>
          <w:bottom w:val="single" w:color="aaaaaa" w:sz="8"/>
          <w:right w:val="single" w:color="aaaaaa" w:sz="8"/>
          <w:insideH w:val="none"/>
          <w:insideV w:val="none"/>
        </w:tblBorders>
      </w:tblPr>
      <w:tblGrid>
        <w:gridCol w:w="957"/>
        <w:gridCol w:w="1891"/>
        <w:gridCol w:w="1704"/>
        <w:gridCol w:w="1891"/>
        <w:gridCol w:w="1704"/>
        <w:gridCol w:w="1891"/>
        <w:gridCol w:w="1704"/>
        <w:gridCol w:w="1892"/>
      </w:tblGrid>
      <w:tr>
        <w:trPr>
          <w:trHeight w:val="525" w:hRule="atLeast"/>
        </w:trPr>
        <w:tc>
          <w:tcPr>
            <w:tcW w:w="95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业态</w:t>
            </w:r>
          </w:p>
        </w:tc>
        <w:tc>
          <w:tcPr>
            <w:tcW w:w="1891"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2024年一季度</w:t>
            </w:r>
          </w:p>
        </w:tc>
        <w:tc>
          <w:tcPr>
            <w:tcW w:w="1704"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2024年中期</w:t>
            </w:r>
          </w:p>
        </w:tc>
        <w:tc>
          <w:tcPr>
            <w:tcW w:w="1891"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2024年三季度</w:t>
            </w:r>
          </w:p>
        </w:tc>
        <w:tc>
          <w:tcPr>
            <w:tcW w:w="1704"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2024年全年</w:t>
            </w:r>
          </w:p>
        </w:tc>
        <w:tc>
          <w:tcPr>
            <w:tcW w:w="1891"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2025年一季度</w:t>
            </w:r>
          </w:p>
        </w:tc>
        <w:tc>
          <w:tcPr>
            <w:tcW w:w="1704"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2025年中期</w:t>
            </w:r>
          </w:p>
        </w:tc>
        <w:tc>
          <w:tcPr>
            <w:tcW w:w="1892"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2025年三季度</w:t>
            </w:r>
          </w:p>
        </w:tc>
      </w:tr>
      <w:tr>
        <w:trPr>
          <w:trHeight w:val="525" w:hRule="atLeast"/>
        </w:trPr>
        <w:tc>
          <w:tcPr>
            <w:tcW w:w="95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百货店</w:t>
            </w:r>
          </w:p>
        </w:tc>
        <w:tc>
          <w:tcPr>
            <w:tcW w:w="1891"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-2.4</w:t>
            </w:r>
          </w:p>
        </w:tc>
        <w:tc>
          <w:tcPr>
            <w:tcW w:w="1704"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-3.0</w:t>
            </w:r>
          </w:p>
        </w:tc>
        <w:tc>
          <w:tcPr>
            <w:tcW w:w="1891"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-3.3</w:t>
            </w:r>
          </w:p>
        </w:tc>
        <w:tc>
          <w:tcPr>
            <w:tcW w:w="1704"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-2.4</w:t>
            </w:r>
          </w:p>
        </w:tc>
        <w:tc>
          <w:tcPr>
            <w:tcW w:w="1891"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+1.2</w:t>
            </w:r>
          </w:p>
        </w:tc>
        <w:tc>
          <w:tcPr>
            <w:tcW w:w="1704"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+1.2</w:t>
            </w:r>
          </w:p>
        </w:tc>
        <w:tc>
          <w:tcPr>
            <w:tcW w:w="1892"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+0.9</w:t>
            </w:r>
          </w:p>
        </w:tc>
      </w:tr>
      <w:tr>
        <w:trPr>
          <w:trHeight w:val="525" w:hRule="atLeast"/>
        </w:trPr>
        <w:tc>
          <w:tcPr>
            <w:tcW w:w="95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超市</w:t>
            </w:r>
          </w:p>
        </w:tc>
        <w:tc>
          <w:tcPr>
            <w:tcW w:w="1891"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+2.2</w:t>
            </w:r>
          </w:p>
        </w:tc>
        <w:tc>
          <w:tcPr>
            <w:tcW w:w="1704"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+2.2</w:t>
            </w:r>
          </w:p>
        </w:tc>
        <w:tc>
          <w:tcPr>
            <w:tcW w:w="1891"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+2.4</w:t>
            </w:r>
          </w:p>
        </w:tc>
        <w:tc>
          <w:tcPr>
            <w:tcW w:w="1704"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+2.7</w:t>
            </w:r>
          </w:p>
        </w:tc>
        <w:tc>
          <w:tcPr>
            <w:tcW w:w="1891"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+4.6</w:t>
            </w:r>
          </w:p>
        </w:tc>
        <w:tc>
          <w:tcPr>
            <w:tcW w:w="1704"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+5.4</w:t>
            </w:r>
          </w:p>
        </w:tc>
        <w:tc>
          <w:tcPr>
            <w:tcW w:w="1892"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+4.4</w:t>
            </w:r>
          </w:p>
        </w:tc>
      </w:tr>
      <w:tr>
        <w:trPr>
          <w:trHeight w:val="525" w:hRule="atLeast"/>
        </w:trPr>
        <w:tc>
          <w:tcPr>
            <w:tcW w:w="95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便利店</w:t>
            </w:r>
          </w:p>
        </w:tc>
        <w:tc>
          <w:tcPr>
            <w:tcW w:w="1891"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+5.2</w:t>
            </w:r>
          </w:p>
        </w:tc>
        <w:tc>
          <w:tcPr>
            <w:tcW w:w="1704"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+5.8</w:t>
            </w:r>
          </w:p>
        </w:tc>
        <w:tc>
          <w:tcPr>
            <w:tcW w:w="1891"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+4.7</w:t>
            </w:r>
          </w:p>
        </w:tc>
        <w:tc>
          <w:tcPr>
            <w:tcW w:w="1704"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+4.7</w:t>
            </w:r>
          </w:p>
        </w:tc>
        <w:tc>
          <w:tcPr>
            <w:tcW w:w="1891"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+9.9</w:t>
            </w:r>
          </w:p>
        </w:tc>
        <w:tc>
          <w:tcPr>
            <w:tcW w:w="1704"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+7.5</w:t>
            </w:r>
          </w:p>
        </w:tc>
        <w:tc>
          <w:tcPr>
            <w:tcW w:w="1892"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+6.4</w:t>
            </w:r>
          </w:p>
        </w:tc>
      </w:tr>
    </w:tbl>
    <w:p>
      <w:pPr>
        <w:spacing w:before="269" w:after="269"/>
        <w:ind w:left="120"/>
        <w:jc w:val="left"/>
      </w:pPr>
      <w:r>
        <w:rPr>
          <w:rFonts w:ascii="Times New Roman" w:hAnsi="Times New Roman"/>
          <w:b w:val="false"/>
          <w:i w:val="false"/>
          <w:color w:val="000000"/>
          <w:sz w:val="22"/>
        </w:rPr>
        <w:t>可以看到：</w:t>
      </w:r>
    </w:p>
    <w:p>
      <w:pPr>
        <w:numPr>
          <w:ilvl w:val="0"/>
          <w:numId w:val="6"/>
        </w:numPr>
        <w:spacing w:before="0" w:after="0"/>
        <w:jc w:val="left"/>
      </w:pPr>
      <w:r>
        <w:rPr>
          <w:rFonts w:ascii="Times New Roman" w:hAnsi="Times New Roman"/>
          <w:b/>
          <w:i w:val="false"/>
          <w:color w:val="000000"/>
          <w:sz w:val="22"/>
        </w:rPr>
        <w:t>百货店</w:t>
      </w:r>
      <w:r>
        <w:rPr>
          <w:rFonts w:ascii="Times New Roman" w:hAnsi="Times New Roman"/>
          <w:b w:val="false"/>
          <w:i w:val="false"/>
          <w:color w:val="000000"/>
          <w:sz w:val="22"/>
        </w:rPr>
        <w:t>：</w:t>
      </w:r>
    </w:p>
    <w:p>
      <w:pPr>
        <w:numPr>
          <w:ilvl w:val="0"/>
          <w:numId w:val="6"/>
        </w:numPr>
        <w:spacing w:before="0" w:after="0"/>
        <w:jc w:val="left"/>
      </w:pPr>
      <w:r>
        <w:rPr>
          <w:rFonts w:ascii="Times New Roman" w:hAnsi="Times New Roman"/>
          <w:b w:val="false"/>
          <w:i w:val="false"/>
          <w:color w:val="000000"/>
          <w:sz w:val="22"/>
        </w:rPr>
        <w:t>2024年各季度累计同比分别为**-2.4%、-3.0%、-3.3%、-2.4%**；</w:t>
      </w:r>
    </w:p>
    <w:p>
      <w:pPr>
        <w:numPr>
          <w:ilvl w:val="0"/>
          <w:numId w:val="6"/>
        </w:numPr>
        <w:spacing w:before="0" w:after="0"/>
        <w:jc w:val="left"/>
      </w:pPr>
      <w:r>
        <w:rPr>
          <w:rFonts w:ascii="Times New Roman" w:hAnsi="Times New Roman"/>
          <w:b w:val="false"/>
          <w:i w:val="false"/>
          <w:color w:val="000000"/>
          <w:sz w:val="22"/>
        </w:rPr>
        <w:t>2025年逐步转正，一季度、二季度、三季度分别为**+1.2%、+1.2%、+0.9%**，表明百货业态在政策托底、消费环境边际改善下实现弱修复，但整体明显跑输社零（4%左右）与超市/便利店。</w:t>
      </w:r>
    </w:p>
    <w:p>
      <w:pPr>
        <w:numPr>
          <w:ilvl w:val="0"/>
          <w:numId w:val="6"/>
        </w:numPr>
        <w:spacing w:before="0" w:after="0"/>
        <w:jc w:val="left"/>
      </w:pPr>
      <w:r>
        <w:rPr>
          <w:rFonts w:ascii="Times New Roman" w:hAnsi="Times New Roman"/>
          <w:b w:val="false"/>
          <w:i w:val="false"/>
          <w:color w:val="000000"/>
          <w:sz w:val="22"/>
        </w:rPr>
        <w:t>行业报告也指出，“百货业态增长乏力，提升改造与投入产出匹配存在难度”。</w:t>
      </w:r>
    </w:p>
    <w:p>
      <w:pPr>
        <w:numPr>
          <w:ilvl w:val="0"/>
          <w:numId w:val="6"/>
        </w:numPr>
        <w:spacing w:before="0" w:after="0"/>
        <w:jc w:val="left"/>
      </w:pPr>
      <w:r>
        <w:rPr>
          <w:rFonts w:ascii="Times New Roman" w:hAnsi="Times New Roman"/>
          <w:b/>
          <w:i w:val="false"/>
          <w:color w:val="000000"/>
          <w:sz w:val="22"/>
        </w:rPr>
        <w:t>超市</w:t>
      </w:r>
      <w:r>
        <w:rPr>
          <w:rFonts w:ascii="Times New Roman" w:hAnsi="Times New Roman"/>
          <w:b w:val="false"/>
          <w:i w:val="false"/>
          <w:color w:val="000000"/>
          <w:sz w:val="22"/>
        </w:rPr>
        <w:t>：</w:t>
      </w:r>
    </w:p>
    <w:p>
      <w:pPr>
        <w:numPr>
          <w:ilvl w:val="0"/>
          <w:numId w:val="6"/>
        </w:numPr>
        <w:spacing w:before="0" w:after="0"/>
        <w:jc w:val="left"/>
      </w:pPr>
      <w:r>
        <w:rPr>
          <w:rFonts w:ascii="Times New Roman" w:hAnsi="Times New Roman"/>
          <w:b w:val="false"/>
          <w:i w:val="false"/>
          <w:color w:val="000000"/>
          <w:sz w:val="22"/>
        </w:rPr>
        <w:t>2024年增速约</w:t>
      </w:r>
      <w:r>
        <w:rPr>
          <w:rFonts w:ascii="Times New Roman" w:hAnsi="Times New Roman"/>
          <w:b/>
          <w:i w:val="false"/>
          <w:color w:val="000000"/>
          <w:sz w:val="22"/>
        </w:rPr>
        <w:t>2%-3%</w:t>
      </w:r>
      <w:r>
        <w:rPr>
          <w:rFonts w:ascii="Times New Roman" w:hAnsi="Times New Roman"/>
          <w:b w:val="false"/>
          <w:i w:val="false"/>
          <w:color w:val="000000"/>
          <w:sz w:val="22"/>
        </w:rPr>
        <w:t>，2024年全年**+2.7%**；</w:t>
      </w:r>
    </w:p>
    <w:p>
      <w:pPr>
        <w:numPr>
          <w:ilvl w:val="0"/>
          <w:numId w:val="6"/>
        </w:numPr>
        <w:spacing w:before="0" w:after="0"/>
        <w:jc w:val="left"/>
      </w:pPr>
      <w:r>
        <w:rPr>
          <w:rFonts w:ascii="Times New Roman" w:hAnsi="Times New Roman"/>
          <w:b w:val="false"/>
          <w:i w:val="false"/>
          <w:color w:val="000000"/>
          <w:sz w:val="22"/>
        </w:rPr>
        <w:t>2025年一季度、二季度、三季度分别提升至**+4.6%、+5.4%、+4.4%</w:t>
      </w:r>
      <w:r>
        <w:rPr>
          <w:rFonts w:ascii="Times New Roman" w:hAnsi="Times New Roman"/>
          <w:b/>
          <w:i w:val="false"/>
          <w:color w:val="000000"/>
          <w:sz w:val="22"/>
        </w:rPr>
        <w:t>，明显高于社零整体增速，表现为</w:t>
      </w:r>
      <w:r>
        <w:rPr>
          <w:rFonts w:ascii="Times New Roman" w:hAnsi="Times New Roman"/>
          <w:b w:val="false"/>
          <w:i w:val="false"/>
          <w:color w:val="000000"/>
          <w:sz w:val="22"/>
        </w:rPr>
        <w:t>稳健修复+略微提速**。</w:t>
      </w:r>
    </w:p>
    <w:p>
      <w:pPr>
        <w:numPr>
          <w:ilvl w:val="0"/>
          <w:numId w:val="6"/>
        </w:numPr>
        <w:spacing w:before="0" w:after="0"/>
        <w:jc w:val="left"/>
      </w:pPr>
      <w:r>
        <w:rPr>
          <w:rFonts w:ascii="Times New Roman" w:hAnsi="Times New Roman"/>
          <w:b w:val="false"/>
          <w:i w:val="false"/>
          <w:color w:val="000000"/>
          <w:sz w:val="22"/>
        </w:rPr>
        <w:t>对生鲜、日配、高频刚需品类的刚性需求，使超市渠道具备稳定客流和现金流，对综合零售集团的营收和经营性现金流贡献重要。</w:t>
      </w:r>
    </w:p>
    <w:p>
      <w:pPr>
        <w:numPr>
          <w:ilvl w:val="0"/>
          <w:numId w:val="6"/>
        </w:numPr>
        <w:spacing w:before="0" w:after="0"/>
        <w:jc w:val="left"/>
      </w:pPr>
      <w:r>
        <w:rPr>
          <w:rFonts w:ascii="Times New Roman" w:hAnsi="Times New Roman"/>
          <w:b/>
          <w:i w:val="false"/>
          <w:color w:val="000000"/>
          <w:sz w:val="22"/>
        </w:rPr>
        <w:t>便利店</w:t>
      </w:r>
      <w:r>
        <w:rPr>
          <w:rFonts w:ascii="Times New Roman" w:hAnsi="Times New Roman"/>
          <w:b w:val="false"/>
          <w:i w:val="false"/>
          <w:color w:val="000000"/>
          <w:sz w:val="22"/>
        </w:rPr>
        <w:t>：</w:t>
      </w:r>
    </w:p>
    <w:p>
      <w:pPr>
        <w:numPr>
          <w:ilvl w:val="0"/>
          <w:numId w:val="6"/>
        </w:numPr>
        <w:spacing w:before="0" w:after="0"/>
        <w:jc w:val="left"/>
      </w:pPr>
      <w:r>
        <w:rPr>
          <w:rFonts w:ascii="Times New Roman" w:hAnsi="Times New Roman"/>
          <w:b w:val="false"/>
          <w:i w:val="false"/>
          <w:color w:val="000000"/>
          <w:sz w:val="22"/>
        </w:rPr>
        <w:t>2024年保持**4.7%-5.8%**的中高增速；</w:t>
      </w:r>
    </w:p>
    <w:p>
      <w:pPr>
        <w:numPr>
          <w:ilvl w:val="0"/>
          <w:numId w:val="6"/>
        </w:numPr>
        <w:spacing w:before="0" w:after="0"/>
        <w:jc w:val="left"/>
      </w:pPr>
      <w:r>
        <w:rPr>
          <w:rFonts w:ascii="Times New Roman" w:hAnsi="Times New Roman"/>
          <w:b w:val="false"/>
          <w:i w:val="false"/>
          <w:color w:val="000000"/>
          <w:sz w:val="22"/>
        </w:rPr>
        <w:t>2025年一季度增速冲高至</w:t>
      </w:r>
      <w:r>
        <w:rPr>
          <w:rFonts w:ascii="Times New Roman" w:hAnsi="Times New Roman"/>
          <w:b/>
          <w:i w:val="false"/>
          <w:color w:val="000000"/>
          <w:sz w:val="22"/>
        </w:rPr>
        <w:t>9.9%</w:t>
      </w:r>
      <w:r>
        <w:rPr>
          <w:rFonts w:ascii="Times New Roman" w:hAnsi="Times New Roman"/>
          <w:b w:val="false"/>
          <w:i w:val="false"/>
          <w:color w:val="000000"/>
          <w:sz w:val="22"/>
        </w:rPr>
        <w:t>，二季度</w:t>
      </w:r>
      <w:r>
        <w:rPr>
          <w:rFonts w:ascii="Times New Roman" w:hAnsi="Times New Roman"/>
          <w:b/>
          <w:i w:val="false"/>
          <w:color w:val="000000"/>
          <w:sz w:val="22"/>
        </w:rPr>
        <w:t>7.5%</w:t>
      </w:r>
      <w:r>
        <w:rPr>
          <w:rFonts w:ascii="Times New Roman" w:hAnsi="Times New Roman"/>
          <w:b w:val="false"/>
          <w:i w:val="false"/>
          <w:color w:val="000000"/>
          <w:sz w:val="22"/>
        </w:rPr>
        <w:t>，三季度</w:t>
      </w:r>
      <w:r>
        <w:rPr>
          <w:rFonts w:ascii="Times New Roman" w:hAnsi="Times New Roman"/>
          <w:b/>
          <w:i w:val="false"/>
          <w:color w:val="000000"/>
          <w:sz w:val="22"/>
        </w:rPr>
        <w:t>6.4%</w:t>
      </w:r>
      <w:r>
        <w:rPr>
          <w:rFonts w:ascii="Times New Roman" w:hAnsi="Times New Roman"/>
          <w:b w:val="false"/>
          <w:i w:val="false"/>
          <w:color w:val="000000"/>
          <w:sz w:val="22"/>
        </w:rPr>
        <w:t>，是少数能够持续显著跑赢社零和其他实体业态的线下渠道。</w:t>
      </w:r>
    </w:p>
    <w:p>
      <w:pPr>
        <w:numPr>
          <w:ilvl w:val="0"/>
          <w:numId w:val="6"/>
        </w:numPr>
        <w:spacing w:before="0" w:after="0"/>
        <w:jc w:val="left"/>
      </w:pPr>
      <w:r>
        <w:rPr>
          <w:rFonts w:ascii="Times New Roman" w:hAnsi="Times New Roman"/>
          <w:b w:val="false"/>
          <w:i w:val="false"/>
          <w:color w:val="000000"/>
          <w:sz w:val="22"/>
        </w:rPr>
        <w:t>便利店依托高密度网点与即时消费需求，受益于都市化、单身/小家庭、夜间经济及即时零售发展，是百大集团等需要重点布局和做精的业态方向。</w:t>
      </w:r>
    </w:p>
    <w:p>
      <w:pPr>
        <w:spacing w:before="269" w:after="269"/>
        <w:ind w:left="120"/>
        <w:jc w:val="left"/>
      </w:pPr>
      <w:r>
        <w:rPr>
          <w:rFonts w:ascii="Times New Roman" w:hAnsi="Times New Roman"/>
          <w:b w:val="false"/>
          <w:i w:val="false"/>
          <w:color w:val="000000"/>
          <w:sz w:val="22"/>
        </w:rPr>
        <w:t>综合判断：</w:t>
      </w:r>
      <w:r>
        <w:rPr>
          <w:rFonts w:ascii="Times New Roman" w:hAnsi="Times New Roman"/>
          <w:b/>
          <w:i w:val="false"/>
          <w:color w:val="000000"/>
          <w:sz w:val="22"/>
        </w:rPr>
        <w:t>2025-2026年线下零售的结构性机会主要在于超市和便利店业态的持续渗透，以及百货/购物中心通过改造升级和引入新消费品牌实现“以质补量”。</w:t>
      </w:r>
      <w:r>
        <w:rPr>
          <w:rFonts w:ascii="Times New Roman" w:hAnsi="Times New Roman"/>
          <w:b w:val="false"/>
          <w:i w:val="false"/>
          <w:color w:val="000000"/>
          <w:sz w:val="22"/>
        </w:rPr>
        <w:t xml:space="preserve"> 对百大集团而言，其传统百货主业的行业贝塔有限，但若能在超市/便利店业务和购物中心运营上加大权重，将在行业格局变化中获得相对优势。</w:t>
      </w:r>
    </w:p>
    <w:p>
      <w:pPr>
        <w:spacing w:before="180" w:after="180"/>
        <w:ind w:left="120"/>
        <w:jc w:val="left"/>
      </w:pPr>
      <w:r>
        <w:rPr>
          <w:rFonts w:ascii="Times New Roman" w:hAnsi="Times New Roman"/>
          <w:b/>
          <w:i w:val="false"/>
          <w:color w:val="000000"/>
          <w:sz w:val="33"/>
        </w:rPr>
        <w:t>1.3 政策环境：以旧换新与国补的托底与减弱</w:t>
      </w:r>
    </w:p>
    <w:p>
      <w:pPr>
        <w:spacing w:before="199" w:after="199"/>
        <w:ind w:left="120"/>
        <w:jc w:val="left"/>
      </w:pPr>
      <w:r>
        <w:rPr>
          <w:rFonts w:ascii="Times New Roman" w:hAnsi="Times New Roman"/>
          <w:b/>
          <w:i w:val="false"/>
          <w:color w:val="000000"/>
          <w:sz w:val="26"/>
        </w:rPr>
        <w:t>1.3.1 2025年：以旧换新、国补与消费券构筑政策底</w:t>
      </w:r>
    </w:p>
    <w:p>
      <w:pPr>
        <w:spacing w:before="269" w:after="269"/>
        <w:ind w:left="120"/>
        <w:jc w:val="left"/>
      </w:pPr>
      <w:r>
        <w:rPr>
          <w:rFonts w:ascii="Times New Roman" w:hAnsi="Times New Roman"/>
          <w:b w:val="false"/>
          <w:i w:val="false"/>
          <w:color w:val="000000"/>
          <w:sz w:val="22"/>
        </w:rPr>
        <w:t>自2024年起，中央通过</w:t>
      </w:r>
      <w:r>
        <w:rPr>
          <w:rFonts w:ascii="Times New Roman" w:hAnsi="Times New Roman"/>
          <w:b/>
          <w:i w:val="false"/>
          <w:color w:val="000000"/>
          <w:sz w:val="22"/>
        </w:rPr>
        <w:t>超长期特别国债+以旧换新+国补+消费券</w:t>
      </w:r>
      <w:r>
        <w:rPr>
          <w:rFonts w:ascii="Times New Roman" w:hAnsi="Times New Roman"/>
          <w:b w:val="false"/>
          <w:i w:val="false"/>
          <w:color w:val="000000"/>
          <w:sz w:val="22"/>
        </w:rPr>
        <w:t>形成促消费政策组合，撬动家电、汽车等耐用品消费的万亿级市场。</w:t>
      </w:r>
    </w:p>
    <w:p>
      <w:pPr>
        <w:numPr>
          <w:ilvl w:val="0"/>
          <w:numId w:val="7"/>
        </w:numPr>
        <w:spacing w:before="0" w:after="0"/>
        <w:jc w:val="left"/>
      </w:pPr>
      <w:r>
        <w:rPr>
          <w:rFonts w:ascii="Times New Roman" w:hAnsi="Times New Roman"/>
          <w:b/>
          <w:i w:val="false"/>
          <w:color w:val="000000"/>
          <w:sz w:val="22"/>
        </w:rPr>
        <w:t>以旧换新</w:t>
      </w:r>
      <w:r>
        <w:rPr>
          <w:rFonts w:ascii="Times New Roman" w:hAnsi="Times New Roman"/>
          <w:b w:val="false"/>
          <w:i w:val="false"/>
          <w:color w:val="000000"/>
          <w:sz w:val="22"/>
        </w:rPr>
        <w:t>：</w:t>
      </w:r>
    </w:p>
    <w:p>
      <w:pPr>
        <w:numPr>
          <w:ilvl w:val="0"/>
          <w:numId w:val="7"/>
        </w:numPr>
        <w:spacing w:before="0" w:after="0"/>
        <w:jc w:val="left"/>
      </w:pPr>
      <w:r>
        <w:rPr>
          <w:rFonts w:ascii="Times New Roman" w:hAnsi="Times New Roman"/>
          <w:b w:val="false"/>
          <w:i w:val="false"/>
          <w:color w:val="000000"/>
          <w:sz w:val="22"/>
        </w:rPr>
        <w:t>鼓励家电、汽车等产品更新换代，家电市场表现突出，促进产业升级。</w:t>
      </w:r>
    </w:p>
    <w:p>
      <w:pPr>
        <w:numPr>
          <w:ilvl w:val="0"/>
          <w:numId w:val="7"/>
        </w:numPr>
        <w:spacing w:before="0" w:after="0"/>
        <w:jc w:val="left"/>
      </w:pPr>
      <w:r>
        <w:rPr>
          <w:rFonts w:ascii="Times New Roman" w:hAnsi="Times New Roman"/>
          <w:b w:val="false"/>
          <w:i w:val="false"/>
          <w:color w:val="000000"/>
          <w:sz w:val="22"/>
        </w:rPr>
        <w:t>2025年作为消费补贴的核心政策之一，被认为在稳定消费总量方面发挥关键作用。</w:t>
      </w:r>
    </w:p>
    <w:p>
      <w:pPr>
        <w:numPr>
          <w:ilvl w:val="0"/>
          <w:numId w:val="7"/>
        </w:numPr>
        <w:spacing w:before="0" w:after="0"/>
        <w:jc w:val="left"/>
      </w:pPr>
      <w:r>
        <w:rPr>
          <w:rFonts w:ascii="Times New Roman" w:hAnsi="Times New Roman"/>
          <w:b/>
          <w:i w:val="false"/>
          <w:color w:val="000000"/>
          <w:sz w:val="22"/>
        </w:rPr>
        <w:t>国补与消费券</w:t>
      </w:r>
      <w:r>
        <w:rPr>
          <w:rFonts w:ascii="Times New Roman" w:hAnsi="Times New Roman"/>
          <w:b w:val="false"/>
          <w:i w:val="false"/>
          <w:color w:val="000000"/>
          <w:sz w:val="22"/>
        </w:rPr>
        <w:t>：</w:t>
      </w:r>
    </w:p>
    <w:p>
      <w:pPr>
        <w:numPr>
          <w:ilvl w:val="0"/>
          <w:numId w:val="7"/>
        </w:numPr>
        <w:spacing w:before="0" w:after="0"/>
        <w:jc w:val="left"/>
      </w:pPr>
      <w:r>
        <w:rPr>
          <w:rFonts w:ascii="Times New Roman" w:hAnsi="Times New Roman"/>
          <w:b w:val="false"/>
          <w:i w:val="false"/>
          <w:color w:val="000000"/>
          <w:sz w:val="22"/>
        </w:rPr>
        <w:t>降低消费者购买成本，提高产品性价比，刺激消费，尤其在新能源汽车、家电等领域拉动显著。</w:t>
      </w:r>
    </w:p>
    <w:p>
      <w:pPr>
        <w:numPr>
          <w:ilvl w:val="0"/>
          <w:numId w:val="7"/>
        </w:numPr>
        <w:spacing w:before="0" w:after="0"/>
        <w:jc w:val="left"/>
      </w:pPr>
      <w:r>
        <w:rPr>
          <w:rFonts w:ascii="Times New Roman" w:hAnsi="Times New Roman"/>
          <w:b w:val="false"/>
          <w:i w:val="false"/>
          <w:color w:val="000000"/>
          <w:sz w:val="22"/>
        </w:rPr>
        <w:t>2025年一季度，在一揽子内需政策推动下，社零总额达</w:t>
      </w:r>
      <w:r>
        <w:rPr>
          <w:rFonts w:ascii="Times New Roman" w:hAnsi="Times New Roman"/>
          <w:b/>
          <w:i w:val="false"/>
          <w:color w:val="000000"/>
          <w:sz w:val="22"/>
        </w:rPr>
        <w:t>12.47万亿元</w:t>
      </w:r>
      <w:r>
        <w:rPr>
          <w:rFonts w:ascii="Times New Roman" w:hAnsi="Times New Roman"/>
          <w:b w:val="false"/>
          <w:i w:val="false"/>
          <w:color w:val="000000"/>
          <w:sz w:val="22"/>
        </w:rPr>
        <w:t>，同比**+4.6%**，被视为全年消费潜力释放的良好开端。</w:t>
      </w:r>
    </w:p>
    <w:p>
      <w:pPr>
        <w:numPr>
          <w:ilvl w:val="0"/>
          <w:numId w:val="7"/>
        </w:numPr>
        <w:spacing w:before="0" w:after="0"/>
        <w:jc w:val="left"/>
      </w:pPr>
      <w:r>
        <w:rPr>
          <w:rFonts w:ascii="Times New Roman" w:hAnsi="Times New Roman"/>
          <w:b/>
          <w:i w:val="false"/>
          <w:color w:val="000000"/>
          <w:sz w:val="22"/>
        </w:rPr>
        <w:t>结构性机会</w:t>
      </w:r>
      <w:r>
        <w:rPr>
          <w:rFonts w:ascii="Times New Roman" w:hAnsi="Times New Roman"/>
          <w:b w:val="false"/>
          <w:i w:val="false"/>
          <w:color w:val="000000"/>
          <w:sz w:val="22"/>
        </w:rPr>
        <w:t>：</w:t>
      </w:r>
    </w:p>
    <w:p>
      <w:pPr>
        <w:numPr>
          <w:ilvl w:val="0"/>
          <w:numId w:val="7"/>
        </w:numPr>
        <w:spacing w:before="0" w:after="0"/>
        <w:jc w:val="left"/>
      </w:pPr>
      <w:r>
        <w:rPr>
          <w:rFonts w:ascii="Times New Roman" w:hAnsi="Times New Roman"/>
          <w:b w:val="false"/>
          <w:i w:val="false"/>
          <w:color w:val="000000"/>
          <w:sz w:val="22"/>
        </w:rPr>
        <w:t>金银珠宝、化妆品等可选消费品类表现突出，反映消费升级趋势；</w:t>
      </w:r>
    </w:p>
    <w:p>
      <w:pPr>
        <w:numPr>
          <w:ilvl w:val="0"/>
          <w:numId w:val="7"/>
        </w:numPr>
        <w:spacing w:before="0" w:after="0"/>
        <w:jc w:val="left"/>
      </w:pPr>
      <w:r>
        <w:rPr>
          <w:rFonts w:ascii="Times New Roman" w:hAnsi="Times New Roman"/>
          <w:b w:val="false"/>
          <w:i w:val="false"/>
          <w:color w:val="000000"/>
          <w:sz w:val="22"/>
        </w:rPr>
        <w:t>新零售板块（潮玩、茶饮、咖啡等）在“情绪消费”“小确幸”驱动下表现亮眼。</w:t>
      </w:r>
    </w:p>
    <w:p>
      <w:pPr>
        <w:spacing w:before="269" w:after="269"/>
        <w:ind w:left="120"/>
        <w:jc w:val="left"/>
      </w:pPr>
      <w:r>
        <w:rPr>
          <w:rFonts w:ascii="Times New Roman" w:hAnsi="Times New Roman"/>
          <w:b w:val="false"/>
          <w:i w:val="false"/>
          <w:color w:val="000000"/>
          <w:sz w:val="22"/>
        </w:rPr>
        <w:t>对于实体零售企业，尤其是百货、购物中心和大卖场：</w:t>
      </w:r>
    </w:p>
    <w:p>
      <w:pPr>
        <w:numPr>
          <w:ilvl w:val="0"/>
          <w:numId w:val="8"/>
        </w:numPr>
        <w:spacing w:before="0" w:after="0"/>
        <w:jc w:val="left"/>
      </w:pPr>
      <w:r>
        <w:rPr>
          <w:rFonts w:ascii="Times New Roman" w:hAnsi="Times New Roman"/>
          <w:b w:val="false"/>
          <w:i w:val="false"/>
          <w:color w:val="000000"/>
          <w:sz w:val="22"/>
        </w:rPr>
        <w:t>家电、家居、汽车等品类以旧换新带来的客流和客单价提升，对高客流商圈和大卖场有明显增量；</w:t>
      </w:r>
    </w:p>
    <w:p>
      <w:pPr>
        <w:numPr>
          <w:ilvl w:val="0"/>
          <w:numId w:val="8"/>
        </w:numPr>
        <w:spacing w:before="0" w:after="0"/>
        <w:jc w:val="left"/>
      </w:pPr>
      <w:r>
        <w:rPr>
          <w:rFonts w:ascii="Times New Roman" w:hAnsi="Times New Roman"/>
          <w:b w:val="false"/>
          <w:i w:val="false"/>
          <w:color w:val="000000"/>
          <w:sz w:val="22"/>
        </w:rPr>
        <w:t>消费券落地有助于线下门店引流，带动连锁超市、便利店的业绩稳定增长；</w:t>
      </w:r>
    </w:p>
    <w:p>
      <w:pPr>
        <w:numPr>
          <w:ilvl w:val="0"/>
          <w:numId w:val="8"/>
        </w:numPr>
        <w:spacing w:before="0" w:after="0"/>
        <w:jc w:val="left"/>
      </w:pPr>
      <w:r>
        <w:rPr>
          <w:rFonts w:ascii="Times New Roman" w:hAnsi="Times New Roman"/>
          <w:b w:val="false"/>
          <w:i w:val="false"/>
          <w:color w:val="000000"/>
          <w:sz w:val="22"/>
        </w:rPr>
        <w:t>但政策红利在不同区域和不同企业之间存在差异，</w:t>
      </w:r>
      <w:r>
        <w:rPr>
          <w:rFonts w:ascii="Times New Roman" w:hAnsi="Times New Roman"/>
          <w:b/>
          <w:i w:val="false"/>
          <w:color w:val="000000"/>
          <w:sz w:val="22"/>
        </w:rPr>
        <w:t>具备较强活动运营能力和品类整合能力的企业更易放大政策效应</w:t>
      </w:r>
      <w:r>
        <w:rPr>
          <w:rFonts w:ascii="Times New Roman" w:hAnsi="Times New Roman"/>
          <w:b w:val="false"/>
          <w:i w:val="false"/>
          <w:color w:val="000000"/>
          <w:sz w:val="22"/>
        </w:rPr>
        <w:t>。</w:t>
      </w:r>
    </w:p>
    <w:p>
      <w:pPr>
        <w:spacing w:before="199" w:after="199"/>
        <w:ind w:left="120"/>
        <w:jc w:val="left"/>
      </w:pPr>
      <w:r>
        <w:rPr>
          <w:rFonts w:ascii="Times New Roman" w:hAnsi="Times New Roman"/>
          <w:b/>
          <w:i w:val="false"/>
          <w:color w:val="000000"/>
          <w:sz w:val="26"/>
        </w:rPr>
        <w:t>1.3.2 政策效果边际减弱与2026年的延续预期</w:t>
      </w:r>
    </w:p>
    <w:p>
      <w:pPr>
        <w:spacing w:before="269" w:after="269"/>
        <w:ind w:left="120"/>
        <w:jc w:val="left"/>
      </w:pPr>
      <w:r>
        <w:rPr>
          <w:rFonts w:ascii="Times New Roman" w:hAnsi="Times New Roman"/>
          <w:b w:val="false"/>
          <w:i w:val="false"/>
          <w:color w:val="000000"/>
          <w:sz w:val="22"/>
        </w:rPr>
        <w:t>多份研究指出，</w:t>
      </w:r>
      <w:r>
        <w:rPr>
          <w:rFonts w:ascii="Times New Roman" w:hAnsi="Times New Roman"/>
          <w:b/>
          <w:i w:val="false"/>
          <w:color w:val="000000"/>
          <w:sz w:val="22"/>
        </w:rPr>
        <w:t>以旧换新和国补的效果在2025年呈现“前高后低”特征，边际影响减弱：</w:t>
      </w:r>
    </w:p>
    <w:p>
      <w:pPr>
        <w:numPr>
          <w:ilvl w:val="0"/>
          <w:numId w:val="9"/>
        </w:numPr>
        <w:spacing w:before="0" w:after="0"/>
        <w:jc w:val="left"/>
      </w:pPr>
      <w:r>
        <w:rPr>
          <w:rFonts w:ascii="Times New Roman" w:hAnsi="Times New Roman"/>
          <w:b w:val="false"/>
          <w:i w:val="false"/>
          <w:color w:val="000000"/>
          <w:sz w:val="22"/>
        </w:rPr>
        <w:t>2024-2025年，以旧换新类商品（家电、家具、通讯器材等）增速在2025年5月左右达到峰值，此后明显回落，国补边际影响减弱。</w:t>
      </w:r>
    </w:p>
    <w:p>
      <w:pPr>
        <w:numPr>
          <w:ilvl w:val="0"/>
          <w:numId w:val="9"/>
        </w:numPr>
        <w:spacing w:before="0" w:after="0"/>
        <w:jc w:val="left"/>
      </w:pPr>
      <w:r>
        <w:rPr>
          <w:rFonts w:ascii="Times New Roman" w:hAnsi="Times New Roman"/>
          <w:b w:val="false"/>
          <w:i w:val="false"/>
          <w:color w:val="000000"/>
          <w:sz w:val="22"/>
        </w:rPr>
        <w:t>截至2025年9月，消费能力对社零增速的拉动约**+4.98个百分点**，消费意愿拉动**-0.48个百分点**，说明居民消费支出增幅仍低于收入增幅，</w:t>
      </w:r>
      <w:r>
        <w:rPr>
          <w:rFonts w:ascii="Times New Roman" w:hAnsi="Times New Roman"/>
          <w:b/>
          <w:i w:val="false"/>
          <w:color w:val="000000"/>
          <w:sz w:val="22"/>
        </w:rPr>
        <w:t>补贴并未有效根本性改变消费意愿</w:t>
      </w:r>
      <w:r>
        <w:rPr>
          <w:rFonts w:ascii="Times New Roman" w:hAnsi="Times New Roman"/>
          <w:b w:val="false"/>
          <w:i w:val="false"/>
          <w:color w:val="000000"/>
          <w:sz w:val="22"/>
        </w:rPr>
        <w:t>。</w:t>
      </w:r>
    </w:p>
    <w:p>
      <w:pPr>
        <w:numPr>
          <w:ilvl w:val="0"/>
          <w:numId w:val="9"/>
        </w:numPr>
        <w:spacing w:before="0" w:after="0"/>
        <w:jc w:val="left"/>
      </w:pPr>
      <w:r>
        <w:rPr>
          <w:rFonts w:ascii="Times New Roman" w:hAnsi="Times New Roman"/>
          <w:b w:val="false"/>
          <w:i w:val="false"/>
          <w:color w:val="000000"/>
          <w:sz w:val="22"/>
        </w:rPr>
        <w:t>2025年1-10月限额以上商品零售额累计同比</w:t>
      </w:r>
      <w:r>
        <w:rPr>
          <w:rFonts w:ascii="Times New Roman" w:hAnsi="Times New Roman"/>
          <w:b/>
          <w:i w:val="false"/>
          <w:color w:val="000000"/>
          <w:sz w:val="22"/>
        </w:rPr>
        <w:t>4.7%</w:t>
      </w:r>
      <w:r>
        <w:rPr>
          <w:rFonts w:ascii="Times New Roman" w:hAnsi="Times New Roman"/>
          <w:b w:val="false"/>
          <w:i w:val="false"/>
          <w:color w:val="000000"/>
          <w:sz w:val="22"/>
        </w:rPr>
        <w:t>，其中补贴商品与非补贴商品的拉动分别为</w:t>
      </w:r>
      <w:r>
        <w:rPr>
          <w:rFonts w:ascii="Times New Roman" w:hAnsi="Times New Roman"/>
          <w:b/>
          <w:i w:val="false"/>
          <w:color w:val="000000"/>
          <w:sz w:val="22"/>
        </w:rPr>
        <w:t>2.7%</w:t>
      </w:r>
      <w:r>
        <w:rPr>
          <w:rFonts w:ascii="Times New Roman" w:hAnsi="Times New Roman"/>
          <w:b/>
          <w:i w:val="false"/>
          <w:color w:val="000000"/>
          <w:sz w:val="22"/>
        </w:rPr>
        <w:t>与</w:t>
      </w:r>
      <w:r>
        <w:rPr>
          <w:rFonts w:ascii="Times New Roman" w:hAnsi="Times New Roman"/>
          <w:b/>
          <w:i w:val="false"/>
          <w:color w:val="000000"/>
          <w:sz w:val="22"/>
        </w:rPr>
        <w:t>2.0%</w:t>
      </w:r>
      <w:r>
        <w:rPr>
          <w:rFonts w:ascii="Times New Roman" w:hAnsi="Times New Roman"/>
          <w:b w:val="false"/>
          <w:i w:val="false"/>
          <w:color w:val="000000"/>
          <w:sz w:val="22"/>
        </w:rPr>
        <w:t>，补贴商品贡献首次超过50%。</w:t>
      </w:r>
    </w:p>
    <w:p>
      <w:pPr>
        <w:spacing w:before="269" w:after="269"/>
        <w:ind w:left="120"/>
        <w:jc w:val="left"/>
      </w:pPr>
      <w:r>
        <w:rPr>
          <w:rFonts w:ascii="Times New Roman" w:hAnsi="Times New Roman"/>
          <w:b w:val="false"/>
          <w:i w:val="false"/>
          <w:color w:val="000000"/>
          <w:sz w:val="22"/>
        </w:rPr>
        <w:t>2026年政策展望方面：</w:t>
      </w:r>
    </w:p>
    <w:p>
      <w:pPr>
        <w:numPr>
          <w:ilvl w:val="0"/>
          <w:numId w:val="10"/>
        </w:numPr>
        <w:spacing w:before="0" w:after="0"/>
        <w:jc w:val="left"/>
      </w:pPr>
      <w:r>
        <w:rPr>
          <w:rFonts w:ascii="Times New Roman" w:hAnsi="Times New Roman"/>
          <w:b w:val="false"/>
          <w:i w:val="false"/>
          <w:color w:val="000000"/>
          <w:sz w:val="22"/>
        </w:rPr>
        <w:t>政治局与中央经济工作会议继续强调“坚持内需主导”“建设强大国内市场”，并提出“更好统筹国内经济工作和国际经贸斗争”，暗示在出口不确定性维持高位下，</w:t>
      </w:r>
      <w:r>
        <w:rPr>
          <w:rFonts w:ascii="Times New Roman" w:hAnsi="Times New Roman"/>
          <w:b/>
          <w:i w:val="false"/>
          <w:color w:val="000000"/>
          <w:sz w:val="22"/>
        </w:rPr>
        <w:t>对内需的强政策刺激具有更高紧迫性与可能性</w:t>
      </w:r>
      <w:r>
        <w:rPr>
          <w:rFonts w:ascii="Times New Roman" w:hAnsi="Times New Roman"/>
          <w:b w:val="false"/>
          <w:i w:val="false"/>
          <w:color w:val="000000"/>
          <w:sz w:val="22"/>
        </w:rPr>
        <w:t>。</w:t>
      </w:r>
    </w:p>
    <w:p>
      <w:pPr>
        <w:numPr>
          <w:ilvl w:val="0"/>
          <w:numId w:val="10"/>
        </w:numPr>
        <w:spacing w:before="0" w:after="0"/>
        <w:jc w:val="left"/>
      </w:pPr>
      <w:r>
        <w:rPr>
          <w:rFonts w:ascii="Times New Roman" w:hAnsi="Times New Roman"/>
          <w:b w:val="false"/>
          <w:i w:val="false"/>
          <w:color w:val="000000"/>
          <w:sz w:val="22"/>
        </w:rPr>
        <w:t>行业研究普遍判断，</w:t>
      </w:r>
      <w:r>
        <w:rPr>
          <w:rFonts w:ascii="Times New Roman" w:hAnsi="Times New Roman"/>
          <w:b/>
          <w:i w:val="false"/>
          <w:color w:val="000000"/>
          <w:sz w:val="22"/>
        </w:rPr>
        <w:t>国补完全暂停的可能性较小</w:t>
      </w:r>
      <w:r>
        <w:rPr>
          <w:rFonts w:ascii="Times New Roman" w:hAnsi="Times New Roman"/>
          <w:b w:val="false"/>
          <w:i w:val="false"/>
          <w:color w:val="000000"/>
          <w:sz w:val="22"/>
        </w:rPr>
        <w:t>，若经济增速显著回落，三季度末或四季度初仍可能适度加大国补额度；未来政策更有可能从“简单刺激”转向“优化消费环境、提高居民可支配收入与信心”。</w:t>
      </w:r>
    </w:p>
    <w:p>
      <w:pPr>
        <w:numPr>
          <w:ilvl w:val="0"/>
          <w:numId w:val="10"/>
        </w:numPr>
        <w:spacing w:before="0" w:after="0"/>
        <w:jc w:val="left"/>
      </w:pPr>
      <w:r>
        <w:rPr>
          <w:rFonts w:ascii="Times New Roman" w:hAnsi="Times New Roman"/>
          <w:b w:val="false"/>
          <w:i w:val="false"/>
          <w:color w:val="000000"/>
          <w:sz w:val="22"/>
        </w:rPr>
        <w:t>2025年11月发布的多部门方案提出，到2027年形成</w:t>
      </w:r>
      <w:r>
        <w:rPr>
          <w:rFonts w:ascii="Times New Roman" w:hAnsi="Times New Roman"/>
          <w:b/>
          <w:i w:val="false"/>
          <w:color w:val="000000"/>
          <w:sz w:val="22"/>
        </w:rPr>
        <w:t>3个万亿级消费领域和10个千亿级消费热点</w:t>
      </w:r>
      <w:r>
        <w:rPr>
          <w:rFonts w:ascii="Times New Roman" w:hAnsi="Times New Roman"/>
          <w:b w:val="false"/>
          <w:i w:val="false"/>
          <w:color w:val="000000"/>
          <w:sz w:val="22"/>
        </w:rPr>
        <w:t>，强调提升消费品供需适配性、发展绿色智能家电、加大以旧换新财政支持等，预示2026年前后促消费政策将持续迭代落地。</w:t>
      </w:r>
    </w:p>
    <w:p>
      <w:pPr>
        <w:spacing w:before="269" w:after="269"/>
        <w:ind w:left="120"/>
        <w:jc w:val="left"/>
      </w:pPr>
      <w:r>
        <w:rPr>
          <w:rFonts w:ascii="Times New Roman" w:hAnsi="Times New Roman"/>
          <w:b w:val="false"/>
          <w:i w:val="false"/>
          <w:color w:val="000000"/>
          <w:sz w:val="22"/>
        </w:rPr>
        <w:t>在此情形下，对百大集团等实体零售企业的含义是：</w:t>
      </w:r>
    </w:p>
    <w:p>
      <w:pPr>
        <w:numPr>
          <w:ilvl w:val="0"/>
          <w:numId w:val="11"/>
        </w:numPr>
        <w:spacing w:before="0" w:after="0"/>
        <w:jc w:val="left"/>
      </w:pPr>
      <w:r>
        <w:rPr>
          <w:rFonts w:ascii="Times New Roman" w:hAnsi="Times New Roman"/>
          <w:b/>
          <w:i w:val="false"/>
          <w:color w:val="000000"/>
          <w:sz w:val="22"/>
        </w:rPr>
        <w:t>政策“托底不托飞”</w:t>
      </w:r>
      <w:r>
        <w:rPr>
          <w:rFonts w:ascii="Times New Roman" w:hAnsi="Times New Roman"/>
          <w:b w:val="false"/>
          <w:i w:val="false"/>
          <w:color w:val="000000"/>
          <w:sz w:val="22"/>
        </w:rPr>
        <w:t>：以旧换新和国补在2026年大概率仍在，但难以再现爆发式增速，更重要的是提供需求底线，降低业绩下行风险；</w:t>
      </w:r>
    </w:p>
    <w:p>
      <w:pPr>
        <w:numPr>
          <w:ilvl w:val="0"/>
          <w:numId w:val="11"/>
        </w:numPr>
        <w:spacing w:before="0" w:after="0"/>
        <w:jc w:val="left"/>
      </w:pPr>
      <w:r>
        <w:rPr>
          <w:rFonts w:ascii="Times New Roman" w:hAnsi="Times New Roman"/>
          <w:b/>
          <w:i w:val="false"/>
          <w:color w:val="000000"/>
          <w:sz w:val="22"/>
        </w:rPr>
        <w:t>结构性导向更强</w:t>
      </w:r>
      <w:r>
        <w:rPr>
          <w:rFonts w:ascii="Times New Roman" w:hAnsi="Times New Roman"/>
          <w:b w:val="false"/>
          <w:i w:val="false"/>
          <w:color w:val="000000"/>
          <w:sz w:val="22"/>
        </w:rPr>
        <w:t>：政策聚焦绿色智能家电、家居、汽车、文旅消费等方向，既利好综合体引进相关业态与品牌，也要求零售商调整品类结构、提高供应链柔性与商品组合能力；</w:t>
      </w:r>
    </w:p>
    <w:p>
      <w:pPr>
        <w:numPr>
          <w:ilvl w:val="0"/>
          <w:numId w:val="11"/>
        </w:numPr>
        <w:spacing w:before="0" w:after="0"/>
        <w:jc w:val="left"/>
      </w:pPr>
      <w:r>
        <w:rPr>
          <w:rFonts w:ascii="Times New Roman" w:hAnsi="Times New Roman"/>
          <w:b/>
          <w:i w:val="false"/>
          <w:color w:val="000000"/>
          <w:sz w:val="22"/>
        </w:rPr>
        <w:t>运营能力成为核心分化点</w:t>
      </w:r>
      <w:r>
        <w:rPr>
          <w:rFonts w:ascii="Times New Roman" w:hAnsi="Times New Roman"/>
          <w:b w:val="false"/>
          <w:i w:val="false"/>
          <w:color w:val="000000"/>
          <w:sz w:val="22"/>
        </w:rPr>
        <w:t>：在补贴边际减弱与整体增速有限的背景下，</w:t>
      </w:r>
      <w:r>
        <w:rPr>
          <w:rFonts w:ascii="Times New Roman" w:hAnsi="Times New Roman"/>
          <w:b/>
          <w:i w:val="false"/>
          <w:color w:val="000000"/>
          <w:sz w:val="22"/>
        </w:rPr>
        <w:t>谁更能把政策红利转化为客流与利润——取决于门店结构、场景营造和运营效率。</w:t>
      </w:r>
    </w:p>
    <w:p>
      <w:pPr>
        <w:spacing w:before="180" w:after="180"/>
        <w:ind w:left="120"/>
        <w:jc w:val="left"/>
      </w:pPr>
      <w:r>
        <w:rPr>
          <w:rFonts w:ascii="Times New Roman" w:hAnsi="Times New Roman"/>
          <w:b/>
          <w:i w:val="false"/>
          <w:color w:val="000000"/>
          <w:sz w:val="33"/>
        </w:rPr>
        <w:t>1.4 2025-2026年行业增速预期与投资含义</w:t>
      </w:r>
    </w:p>
    <w:p>
      <w:pPr>
        <w:spacing w:before="199" w:after="199"/>
        <w:ind w:left="120"/>
        <w:jc w:val="left"/>
      </w:pPr>
      <w:r>
        <w:rPr>
          <w:rFonts w:ascii="Times New Roman" w:hAnsi="Times New Roman"/>
          <w:b/>
          <w:i w:val="false"/>
          <w:color w:val="000000"/>
          <w:sz w:val="26"/>
        </w:rPr>
        <w:t>1.4.1 行业增速：估值已筑底，增长进入“低增稳”区间</w:t>
      </w:r>
    </w:p>
    <w:p>
      <w:pPr>
        <w:spacing w:before="269" w:after="269"/>
        <w:ind w:left="120"/>
        <w:jc w:val="left"/>
      </w:pPr>
      <w:r>
        <w:rPr>
          <w:rFonts w:ascii="Times New Roman" w:hAnsi="Times New Roman"/>
          <w:b w:val="false"/>
          <w:i w:val="false"/>
          <w:color w:val="000000"/>
          <w:sz w:val="22"/>
        </w:rPr>
        <w:t>可选消费及商贸零售年度策略普遍认为：</w:t>
      </w:r>
    </w:p>
    <w:p>
      <w:pPr>
        <w:numPr>
          <w:ilvl w:val="0"/>
          <w:numId w:val="12"/>
        </w:numPr>
        <w:spacing w:before="0" w:after="0"/>
        <w:jc w:val="left"/>
      </w:pPr>
      <w:r>
        <w:rPr>
          <w:rFonts w:ascii="Times New Roman" w:hAnsi="Times New Roman"/>
          <w:b w:val="false"/>
          <w:i w:val="false"/>
          <w:color w:val="000000"/>
          <w:sz w:val="22"/>
        </w:rPr>
        <w:t>2025年零售销售增长约</w:t>
      </w:r>
      <w:r>
        <w:rPr>
          <w:rFonts w:ascii="Times New Roman" w:hAnsi="Times New Roman"/>
          <w:b/>
          <w:i w:val="false"/>
          <w:color w:val="000000"/>
          <w:sz w:val="22"/>
        </w:rPr>
        <w:t>4.0%</w:t>
      </w:r>
      <w:r>
        <w:rPr>
          <w:rFonts w:ascii="Times New Roman" w:hAnsi="Times New Roman"/>
          <w:b w:val="false"/>
          <w:i w:val="false"/>
          <w:color w:val="000000"/>
          <w:sz w:val="22"/>
        </w:rPr>
        <w:t>，较2024年的**3.5%**有所加速，但三四季度已有放缓迹象；</w:t>
      </w:r>
    </w:p>
    <w:p>
      <w:pPr>
        <w:numPr>
          <w:ilvl w:val="0"/>
          <w:numId w:val="12"/>
        </w:numPr>
        <w:spacing w:before="0" w:after="0"/>
        <w:jc w:val="left"/>
      </w:pPr>
      <w:r>
        <w:rPr>
          <w:rFonts w:ascii="Times New Roman" w:hAnsi="Times New Roman"/>
          <w:b w:val="false"/>
          <w:i w:val="false"/>
          <w:color w:val="000000"/>
          <w:sz w:val="22"/>
        </w:rPr>
        <w:t>2026年整体零售销售增速预计</w:t>
      </w:r>
      <w:r>
        <w:rPr>
          <w:rFonts w:ascii="Times New Roman" w:hAnsi="Times New Roman"/>
          <w:b/>
          <w:i w:val="false"/>
          <w:color w:val="000000"/>
          <w:sz w:val="22"/>
        </w:rPr>
        <w:t>约3.5%</w:t>
      </w:r>
      <w:r>
        <w:rPr>
          <w:rFonts w:ascii="Times New Roman" w:hAnsi="Times New Roman"/>
          <w:b w:val="false"/>
          <w:i w:val="false"/>
          <w:color w:val="000000"/>
          <w:sz w:val="22"/>
        </w:rPr>
        <w:t>，略低于2025年的4.0%，原因是补贴退潮、宏观与就业压力、出口放缓拖累消费力等利空因素多于利好；</w:t>
      </w:r>
    </w:p>
    <w:p>
      <w:pPr>
        <w:numPr>
          <w:ilvl w:val="0"/>
          <w:numId w:val="12"/>
        </w:numPr>
        <w:spacing w:before="0" w:after="0"/>
        <w:jc w:val="left"/>
      </w:pPr>
      <w:r>
        <w:rPr>
          <w:rFonts w:ascii="Times New Roman" w:hAnsi="Times New Roman"/>
          <w:b w:val="false"/>
          <w:i w:val="false"/>
          <w:color w:val="000000"/>
          <w:sz w:val="22"/>
        </w:rPr>
        <w:t>行业估值在2025年大概率已完成筑底并展开修复，目前约</w:t>
      </w:r>
      <w:r>
        <w:rPr>
          <w:rFonts w:ascii="Times New Roman" w:hAnsi="Times New Roman"/>
          <w:b/>
          <w:i w:val="false"/>
          <w:color w:val="000000"/>
          <w:sz w:val="22"/>
        </w:rPr>
        <w:t>15倍市盈率</w:t>
      </w:r>
      <w:r>
        <w:rPr>
          <w:rFonts w:ascii="Times New Roman" w:hAnsi="Times New Roman"/>
          <w:b w:val="false"/>
          <w:i w:val="false"/>
          <w:color w:val="000000"/>
          <w:sz w:val="22"/>
        </w:rPr>
        <w:t>，低于过去8年</w:t>
      </w:r>
      <w:r>
        <w:rPr>
          <w:rFonts w:ascii="Times New Roman" w:hAnsi="Times New Roman"/>
          <w:b/>
          <w:i w:val="false"/>
          <w:color w:val="000000"/>
          <w:sz w:val="22"/>
        </w:rPr>
        <w:t>约20倍</w:t>
      </w:r>
      <w:r>
        <w:rPr>
          <w:rFonts w:ascii="Times New Roman" w:hAnsi="Times New Roman"/>
          <w:b w:val="false"/>
          <w:i w:val="false"/>
          <w:color w:val="000000"/>
          <w:sz w:val="22"/>
        </w:rPr>
        <w:t>平均水平，但在缺乏大规模新增利好或房地产显著复苏的情况下，未来12个月估值未必能快速抬升。整体建议**“耐心等待更优入场时机，在股价回调时逢低加仓”**。</w:t>
      </w:r>
    </w:p>
    <w:p>
      <w:pPr>
        <w:spacing w:before="269" w:after="269"/>
        <w:ind w:left="120"/>
        <w:jc w:val="left"/>
      </w:pPr>
      <w:r>
        <w:rPr>
          <w:rFonts w:ascii="Times New Roman" w:hAnsi="Times New Roman"/>
          <w:b w:val="false"/>
          <w:i w:val="false"/>
          <w:color w:val="000000"/>
          <w:sz w:val="22"/>
        </w:rPr>
        <w:t>消费与零售在2025-2026年的大势可以概括为：</w:t>
      </w:r>
    </w:p>
    <w:p>
      <w:pPr>
        <w:numPr>
          <w:ilvl w:val="0"/>
          <w:numId w:val="13"/>
        </w:numPr>
        <w:spacing w:before="0" w:after="0"/>
        <w:jc w:val="left"/>
      </w:pPr>
      <w:r>
        <w:rPr>
          <w:rFonts w:ascii="Times New Roman" w:hAnsi="Times New Roman"/>
          <w:b/>
          <w:i w:val="false"/>
          <w:color w:val="000000"/>
          <w:sz w:val="22"/>
        </w:rPr>
        <w:t>增速：低个位数、略有波动但无系统性崩塌风险</w:t>
      </w:r>
      <w:r>
        <w:rPr>
          <w:rFonts w:ascii="Times New Roman" w:hAnsi="Times New Roman"/>
          <w:b w:val="false"/>
          <w:i w:val="false"/>
          <w:color w:val="000000"/>
          <w:sz w:val="22"/>
        </w:rPr>
        <w:t>；</w:t>
      </w:r>
    </w:p>
    <w:p>
      <w:pPr>
        <w:numPr>
          <w:ilvl w:val="0"/>
          <w:numId w:val="13"/>
        </w:numPr>
        <w:spacing w:before="0" w:after="0"/>
        <w:jc w:val="left"/>
      </w:pPr>
      <w:r>
        <w:rPr>
          <w:rFonts w:ascii="Times New Roman" w:hAnsi="Times New Roman"/>
          <w:b/>
          <w:i w:val="false"/>
          <w:color w:val="000000"/>
          <w:sz w:val="22"/>
        </w:rPr>
        <w:t>估值：底部区间修复，但向上弹性依赖宏观与政策超预期</w:t>
      </w:r>
      <w:r>
        <w:rPr>
          <w:rFonts w:ascii="Times New Roman" w:hAnsi="Times New Roman"/>
          <w:b w:val="false"/>
          <w:i w:val="false"/>
          <w:color w:val="000000"/>
          <w:sz w:val="22"/>
        </w:rPr>
        <w:t>；</w:t>
      </w:r>
    </w:p>
    <w:p>
      <w:pPr>
        <w:numPr>
          <w:ilvl w:val="0"/>
          <w:numId w:val="13"/>
        </w:numPr>
        <w:spacing w:before="0" w:after="0"/>
        <w:jc w:val="left"/>
      </w:pPr>
      <w:r>
        <w:rPr>
          <w:rFonts w:ascii="Times New Roman" w:hAnsi="Times New Roman"/>
          <w:b/>
          <w:i w:val="false"/>
          <w:color w:val="000000"/>
          <w:sz w:val="22"/>
        </w:rPr>
        <w:t>结构：业态分化、品牌分化、区域分化显著，龙头与优质区域零售商有望通过供给优化获得超额收益。</w:t>
      </w:r>
    </w:p>
    <w:p>
      <w:pPr>
        <w:spacing w:before="199" w:after="199"/>
        <w:ind w:left="120"/>
        <w:jc w:val="left"/>
      </w:pPr>
      <w:r>
        <w:rPr>
          <w:rFonts w:ascii="Times New Roman" w:hAnsi="Times New Roman"/>
          <w:b/>
          <w:i w:val="false"/>
          <w:color w:val="000000"/>
          <w:sz w:val="26"/>
        </w:rPr>
        <w:t>1.4.2 对百大集团的宏观层面启示</w:t>
      </w:r>
    </w:p>
    <w:p>
      <w:pPr>
        <w:spacing w:before="269" w:after="269"/>
        <w:ind w:left="120"/>
        <w:jc w:val="left"/>
      </w:pPr>
      <w:r>
        <w:rPr>
          <w:rFonts w:ascii="Times New Roman" w:hAnsi="Times New Roman"/>
          <w:b w:val="false"/>
          <w:i w:val="false"/>
          <w:color w:val="000000"/>
          <w:sz w:val="22"/>
        </w:rPr>
        <w:t>在该宏观与行业大势下，对百大集团这类区域综合零售商的宏观层面判断是：</w:t>
      </w:r>
    </w:p>
    <w:p>
      <w:pPr>
        <w:numPr>
          <w:ilvl w:val="0"/>
          <w:numId w:val="14"/>
        </w:numPr>
        <w:spacing w:before="0" w:after="0"/>
        <w:jc w:val="left"/>
      </w:pPr>
      <w:r>
        <w:rPr>
          <w:rFonts w:ascii="Times New Roman" w:hAnsi="Times New Roman"/>
          <w:b/>
          <w:i w:val="false"/>
          <w:color w:val="000000"/>
          <w:sz w:val="22"/>
        </w:rPr>
        <w:t>行业整体不提供高Beta，核心是Alpha</w:t>
      </w:r>
    </w:p>
    <w:p>
      <w:pPr>
        <w:numPr>
          <w:ilvl w:val="0"/>
          <w:numId w:val="15"/>
        </w:numPr>
        <w:spacing w:before="0" w:after="0"/>
        <w:jc w:val="left"/>
      </w:pPr>
      <w:r>
        <w:rPr>
          <w:rFonts w:ascii="Times New Roman" w:hAnsi="Times New Roman"/>
          <w:b w:val="false"/>
          <w:i w:val="false"/>
          <w:color w:val="000000"/>
          <w:sz w:val="22"/>
        </w:rPr>
        <w:t>社零中枢约4%、实体零售弱复苏，使得单纯依赖“行业景气抬升”难以带来高收益；</w:t>
      </w:r>
    </w:p>
    <w:p>
      <w:pPr>
        <w:numPr>
          <w:ilvl w:val="0"/>
          <w:numId w:val="15"/>
        </w:numPr>
        <w:spacing w:before="0" w:after="0"/>
        <w:jc w:val="left"/>
      </w:pPr>
      <w:r>
        <w:rPr>
          <w:rFonts w:ascii="Times New Roman" w:hAnsi="Times New Roman"/>
          <w:b w:val="false"/>
          <w:i w:val="false"/>
          <w:color w:val="000000"/>
          <w:sz w:val="22"/>
        </w:rPr>
        <w:t>估值整体在底部区域，提供一定安全边际，但弹性更取决于公司层面的结构调整与效率提升。</w:t>
      </w:r>
    </w:p>
    <w:p>
      <w:pPr>
        <w:numPr>
          <w:ilvl w:val="0"/>
          <w:numId w:val="16"/>
        </w:numPr>
        <w:spacing w:before="0" w:after="0"/>
        <w:jc w:val="left"/>
      </w:pPr>
      <w:r>
        <w:rPr>
          <w:rFonts w:ascii="Times New Roman" w:hAnsi="Times New Roman"/>
          <w:b/>
          <w:i w:val="false"/>
          <w:color w:val="000000"/>
          <w:sz w:val="22"/>
        </w:rPr>
        <w:t>业态结构决定盈利韧性与成长空间</w:t>
      </w:r>
    </w:p>
    <w:p>
      <w:pPr>
        <w:numPr>
          <w:ilvl w:val="0"/>
          <w:numId w:val="17"/>
        </w:numPr>
        <w:spacing w:before="0" w:after="0"/>
        <w:jc w:val="left"/>
      </w:pPr>
      <w:r>
        <w:rPr>
          <w:rFonts w:ascii="Times New Roman" w:hAnsi="Times New Roman"/>
          <w:b w:val="false"/>
          <w:i w:val="false"/>
          <w:color w:val="000000"/>
          <w:sz w:val="22"/>
        </w:rPr>
        <w:t>百大集团若仍以百货/传统商场为主，则对应的行业增速与盈利弹性有限；百货业态仅从负增长修复至约1%左右的微弱正增，难以驱动ROE显著上行。</w:t>
      </w:r>
    </w:p>
    <w:p>
      <w:pPr>
        <w:numPr>
          <w:ilvl w:val="0"/>
          <w:numId w:val="17"/>
        </w:numPr>
        <w:spacing w:before="0" w:after="0"/>
        <w:jc w:val="left"/>
      </w:pPr>
      <w:r>
        <w:rPr>
          <w:rFonts w:ascii="Times New Roman" w:hAnsi="Times New Roman"/>
          <w:b w:val="false"/>
          <w:i w:val="false"/>
          <w:color w:val="000000"/>
          <w:sz w:val="22"/>
        </w:rPr>
        <w:t>若公司在超市与便利店加大布局，叠加购物中心资产通过改造与引入新消费业态提升租金与客流，则可借助超市</w:t>
      </w:r>
      <w:r>
        <w:rPr>
          <w:rFonts w:ascii="Times New Roman" w:hAnsi="Times New Roman"/>
          <w:b/>
          <w:i w:val="false"/>
          <w:color w:val="000000"/>
          <w:sz w:val="22"/>
        </w:rPr>
        <w:t>4%-5%</w:t>
      </w:r>
      <w:r>
        <w:rPr>
          <w:rFonts w:ascii="Times New Roman" w:hAnsi="Times New Roman"/>
          <w:b w:val="false"/>
          <w:i w:val="false"/>
          <w:color w:val="000000"/>
          <w:sz w:val="22"/>
        </w:rPr>
        <w:t>、便利店**6%-10%**的高景气趋势提升整体增速与抗周期能力。</w:t>
      </w:r>
    </w:p>
    <w:p>
      <w:pPr>
        <w:numPr>
          <w:ilvl w:val="0"/>
          <w:numId w:val="18"/>
        </w:numPr>
        <w:spacing w:before="0" w:after="0"/>
        <w:jc w:val="left"/>
      </w:pPr>
      <w:r>
        <w:rPr>
          <w:rFonts w:ascii="Times New Roman" w:hAnsi="Times New Roman"/>
          <w:b/>
          <w:i w:val="false"/>
          <w:color w:val="000000"/>
          <w:sz w:val="22"/>
        </w:rPr>
        <w:t>充分利用政策窗口期进行品类与供应链升级</w:t>
      </w:r>
    </w:p>
    <w:p>
      <w:pPr>
        <w:numPr>
          <w:ilvl w:val="0"/>
          <w:numId w:val="19"/>
        </w:numPr>
        <w:spacing w:before="0" w:after="0"/>
        <w:jc w:val="left"/>
      </w:pPr>
      <w:r>
        <w:rPr>
          <w:rFonts w:ascii="Times New Roman" w:hAnsi="Times New Roman"/>
          <w:b w:val="false"/>
          <w:i w:val="false"/>
          <w:color w:val="000000"/>
          <w:sz w:val="22"/>
        </w:rPr>
        <w:t>以旧换新、国补等政策在2025-2026年虽边际减弱，但仍为家电、家居等品类提供基本盘；百大集团如能在门店中强化这些品类的展示、活动与金融服务，仍可获得政策红利；</w:t>
      </w:r>
    </w:p>
    <w:p>
      <w:pPr>
        <w:numPr>
          <w:ilvl w:val="0"/>
          <w:numId w:val="19"/>
        </w:numPr>
        <w:spacing w:before="0" w:after="0"/>
        <w:jc w:val="left"/>
      </w:pPr>
      <w:r>
        <w:rPr>
          <w:rFonts w:ascii="Times New Roman" w:hAnsi="Times New Roman"/>
          <w:b w:val="false"/>
          <w:i w:val="false"/>
          <w:color w:val="000000"/>
          <w:sz w:val="22"/>
        </w:rPr>
        <w:t>同时，应顺应消费升级趋势，加大金银珠宝、化妆品、新零售品牌等高毛利、高客流品类的引入与运营，为后续利润释放奠定基础。</w:t>
      </w:r>
    </w:p>
    <w:p>
      <w:pPr>
        <w:spacing w:before="269" w:after="269"/>
        <w:ind w:left="120"/>
        <w:jc w:val="left"/>
      </w:pPr>
      <w:r>
        <w:rPr>
          <w:rFonts w:ascii="Times New Roman" w:hAnsi="Times New Roman"/>
          <w:b w:val="false"/>
          <w:i w:val="false"/>
          <w:color w:val="000000"/>
          <w:sz w:val="22"/>
        </w:rPr>
        <w:t>综上，</w:t>
      </w:r>
      <w:r>
        <w:rPr>
          <w:rFonts w:ascii="Times New Roman" w:hAnsi="Times New Roman"/>
          <w:b/>
          <w:i w:val="false"/>
          <w:color w:val="000000"/>
          <w:sz w:val="22"/>
        </w:rPr>
        <w:t>2025-2026年的零售宏观环境可以概括为“外需波动下的内需托底，低增速中的高分化”。</w:t>
      </w:r>
      <w:r>
        <w:rPr>
          <w:rFonts w:ascii="Times New Roman" w:hAnsi="Times New Roman"/>
          <w:b w:val="false"/>
          <w:i w:val="false"/>
          <w:color w:val="000000"/>
          <w:sz w:val="22"/>
        </w:rPr>
        <w:t xml:space="preserve"> 对百大集团而言，这一阶段不是简单的周期性机会，而是通过主动调整业态结构、强化供应链与运营效率，在中低增速行业中实现</w:t>
      </w:r>
      <w:r>
        <w:rPr>
          <w:rFonts w:ascii="Times New Roman" w:hAnsi="Times New Roman"/>
          <w:b/>
          <w:i w:val="false"/>
          <w:color w:val="000000"/>
          <w:sz w:val="22"/>
        </w:rPr>
        <w:t>结构性超额收益</w:t>
      </w:r>
      <w:r>
        <w:rPr>
          <w:rFonts w:ascii="Times New Roman" w:hAnsi="Times New Roman"/>
          <w:b w:val="false"/>
          <w:i w:val="false"/>
          <w:color w:val="000000"/>
          <w:sz w:val="22"/>
        </w:rPr>
        <w:t>的关键窗口。</w:t>
      </w:r>
    </w:p>
    <w:p>
      <w:pPr>
        <w:spacing w:before="161" w:after="161"/>
        <w:ind w:left="120"/>
        <w:jc w:val="left"/>
      </w:pPr>
      <w:r>
        <w:rPr>
          <w:rFonts w:ascii="Times New Roman" w:hAnsi="Times New Roman"/>
          <w:b/>
          <w:i w:val="false"/>
          <w:color w:val="000000"/>
          <w:sz w:val="44"/>
        </w:rPr>
        <w:t>二、行业竞争格局重塑与供需边际变化分析</w:t>
      </w:r>
    </w:p>
    <w:p>
      <w:pPr>
        <w:spacing w:before="269" w:after="269"/>
        <w:ind w:left="120"/>
        <w:jc w:val="left"/>
      </w:pPr>
      <w:r>
        <w:rPr>
          <w:rFonts w:ascii="Times New Roman" w:hAnsi="Times New Roman"/>
          <w:b w:val="false"/>
          <w:i w:val="false"/>
          <w:color w:val="000000"/>
          <w:sz w:val="22"/>
        </w:rPr>
        <w:t>在百货行业整体增速放缓、线下份额被电商持续挤压的大背景下，杭州线下零售特别是核心商圈的竞争正在加速向</w:t>
      </w:r>
      <w:r>
        <w:rPr>
          <w:rFonts w:ascii="Times New Roman" w:hAnsi="Times New Roman"/>
          <w:b/>
          <w:i w:val="false"/>
          <w:color w:val="000000"/>
          <w:sz w:val="22"/>
        </w:rPr>
        <w:t>头部重奢/体验型载体集中</w:t>
      </w:r>
      <w:r>
        <w:rPr>
          <w:rFonts w:ascii="Times New Roman" w:hAnsi="Times New Roman"/>
          <w:b w:val="false"/>
          <w:i w:val="false"/>
          <w:color w:val="000000"/>
          <w:sz w:val="22"/>
        </w:rPr>
        <w:t>，银泰、杭州解百等龙头依托品牌与运营能力持续提升市占，而</w:t>
      </w:r>
      <w:r>
        <w:rPr>
          <w:rFonts w:ascii="Times New Roman" w:hAnsi="Times New Roman"/>
          <w:b/>
          <w:i w:val="false"/>
          <w:color w:val="000000"/>
          <w:sz w:val="22"/>
        </w:rPr>
        <w:t>百大集团因单店托管、无重奢资源加持，正处于“行业压力放大 + 结构性机会受限”的双重挤压期</w:t>
      </w:r>
      <w:r>
        <w:rPr>
          <w:rFonts w:ascii="Times New Roman" w:hAnsi="Times New Roman"/>
          <w:b w:val="false"/>
          <w:i w:val="false"/>
          <w:color w:val="000000"/>
          <w:sz w:val="22"/>
        </w:rPr>
        <w:t>。</w:t>
      </w:r>
    </w:p>
    <w:p>
      <w:pPr>
        <w:spacing w:before="269" w:after="269"/>
        <w:ind w:left="120"/>
        <w:jc w:val="left"/>
      </w:pPr>
      <w:r>
        <w:rPr>
          <w:rFonts w:ascii="Times New Roman" w:hAnsi="Times New Roman"/>
          <w:b w:val="false"/>
          <w:i w:val="false"/>
          <w:color w:val="000000"/>
          <w:sz w:val="22"/>
        </w:rPr>
        <w:t>从供需两端看，2024-2025年全国百货零售额、利润增速仍偏弱，但核心城市优质商业空置率保持低位，杭州武林/湖滨等主力商圈空置率分别仅</w:t>
      </w:r>
      <w:r>
        <w:rPr>
          <w:rFonts w:ascii="Times New Roman" w:hAnsi="Times New Roman"/>
          <w:b/>
          <w:i w:val="false"/>
          <w:color w:val="000000"/>
          <w:sz w:val="22"/>
        </w:rPr>
        <w:t>4.7%/5.2%</w:t>
      </w:r>
      <w:r>
        <w:rPr>
          <w:rFonts w:ascii="Times New Roman" w:hAnsi="Times New Roman"/>
          <w:b w:val="false"/>
          <w:i w:val="false"/>
          <w:color w:val="000000"/>
          <w:sz w:val="22"/>
        </w:rPr>
        <w:t>、全市平均</w:t>
      </w:r>
      <w:r>
        <w:rPr>
          <w:rFonts w:ascii="Times New Roman" w:hAnsi="Times New Roman"/>
          <w:b/>
          <w:i w:val="false"/>
          <w:color w:val="000000"/>
          <w:sz w:val="22"/>
        </w:rPr>
        <w:t>9.7%</w:t>
      </w:r>
      <w:r>
        <w:rPr>
          <w:rFonts w:ascii="Times New Roman" w:hAnsi="Times New Roman"/>
          <w:b w:val="false"/>
          <w:i w:val="false"/>
          <w:color w:val="000000"/>
          <w:sz w:val="22"/>
        </w:rPr>
        <w:t>，显示</w:t>
      </w:r>
      <w:r>
        <w:rPr>
          <w:rFonts w:ascii="Times New Roman" w:hAnsi="Times New Roman"/>
          <w:b/>
          <w:i w:val="false"/>
          <w:color w:val="000000"/>
          <w:sz w:val="22"/>
        </w:rPr>
        <w:t>真正高质量商业资产并不存在系统性供给过剩</w:t>
      </w:r>
      <w:r>
        <w:rPr>
          <w:rFonts w:ascii="Times New Roman" w:hAnsi="Times New Roman"/>
          <w:b w:val="false"/>
          <w:i w:val="false"/>
          <w:color w:val="000000"/>
          <w:sz w:val="22"/>
        </w:rPr>
        <w:t>，反而在“以价换量”策略下迎来估值重估与大宗交易活跃，商业地产成为长期资金青睐的“现金流资产”。</w:t>
      </w:r>
    </w:p>
    <w:p>
      <w:pPr>
        <w:spacing w:before="269" w:after="269"/>
        <w:ind w:left="120"/>
        <w:jc w:val="left"/>
      </w:pPr>
      <w:r>
        <w:rPr>
          <w:rFonts w:ascii="Times New Roman" w:hAnsi="Times New Roman"/>
          <w:b w:val="false"/>
          <w:i w:val="false"/>
          <w:color w:val="000000"/>
          <w:sz w:val="22"/>
        </w:rPr>
        <w:t>结合社零结构与“情绪消费”趋势，“黄金珠宝+二次元/谷子经济+体验服务”正在成为线下商场获取年轻客流与高毛利品类的关键抓手，而百大集团目前仍以传统百货联营为主、缺乏重奢/情绪消费场景，对新一轮结构性机遇的承接能力偏弱。</w:t>
      </w:r>
      <w:r>
        <w:rPr>
          <w:rFonts w:ascii="Times New Roman" w:hAnsi="Times New Roman"/>
          <w:b/>
          <w:i w:val="false"/>
          <w:color w:val="000000"/>
          <w:sz w:val="22"/>
        </w:rPr>
        <w:t>2025-2026年对于百大而言，更现实的投资逻辑在于：“稳定托管现金流 + 商业地产估值体系修复的间接受益”，而非主业α 的快速释放。</w:t>
      </w:r>
    </w:p>
    <w:p>
      <w:pPr>
        <w:spacing w:before="180" w:after="180"/>
        <w:ind w:left="120"/>
        <w:jc w:val="left"/>
      </w:pPr>
      <w:r>
        <w:rPr>
          <w:rFonts w:ascii="Times New Roman" w:hAnsi="Times New Roman"/>
          <w:b/>
          <w:i w:val="false"/>
          <w:color w:val="000000"/>
          <w:sz w:val="33"/>
        </w:rPr>
        <w:t>2.1 行业基本面：量弱价压，结构分化</w:t>
      </w:r>
    </w:p>
    <w:p>
      <w:pPr>
        <w:spacing w:before="199" w:after="199"/>
        <w:ind w:left="120"/>
        <w:jc w:val="left"/>
      </w:pPr>
      <w:r>
        <w:rPr>
          <w:rFonts w:ascii="Times New Roman" w:hAnsi="Times New Roman"/>
          <w:b/>
          <w:i w:val="false"/>
          <w:color w:val="000000"/>
          <w:sz w:val="26"/>
        </w:rPr>
        <w:t>2.1.1 全国百货业态：规模下行、增速换挡</w:t>
      </w:r>
    </w:p>
    <w:p>
      <w:pPr>
        <w:spacing w:before="269" w:after="269"/>
        <w:ind w:left="120"/>
        <w:jc w:val="left"/>
      </w:pPr>
      <w:r>
        <w:rPr>
          <w:rFonts w:ascii="Times New Roman" w:hAnsi="Times New Roman"/>
          <w:b w:val="false"/>
          <w:i w:val="false"/>
          <w:color w:val="000000"/>
          <w:sz w:val="22"/>
        </w:rPr>
        <w:t>从全国层面看，百货业态在社零中的韧性明显弱于其他线下业态。2024年，限额以上百货店零售额同比</w:t>
      </w:r>
      <w:r>
        <w:rPr>
          <w:rFonts w:ascii="Times New Roman" w:hAnsi="Times New Roman"/>
          <w:b/>
          <w:i w:val="false"/>
          <w:color w:val="000000"/>
          <w:sz w:val="22"/>
        </w:rPr>
        <w:t>下降2.4%</w:t>
      </w:r>
      <w:r>
        <w:rPr>
          <w:rFonts w:ascii="Times New Roman" w:hAnsi="Times New Roman"/>
          <w:b w:val="false"/>
          <w:i w:val="false"/>
          <w:color w:val="000000"/>
          <w:sz w:val="22"/>
        </w:rPr>
        <w:t>，而社零整体同比**+3.5%</w:t>
      </w:r>
      <w:r>
        <w:rPr>
          <w:rFonts w:ascii="Times New Roman" w:hAnsi="Times New Roman"/>
          <w:b/>
          <w:i w:val="false"/>
          <w:color w:val="000000"/>
          <w:sz w:val="22"/>
        </w:rPr>
        <w:t>，实物网上零售额同比</w:t>
      </w:r>
      <w:r>
        <w:rPr>
          <w:rFonts w:ascii="Times New Roman" w:hAnsi="Times New Roman"/>
          <w:b w:val="false"/>
          <w:i w:val="false"/>
          <w:color w:val="000000"/>
          <w:sz w:val="22"/>
        </w:rPr>
        <w:t>+6.5%</w:t>
      </w:r>
      <w:r>
        <w:rPr>
          <w:rFonts w:ascii="Times New Roman" w:hAnsi="Times New Roman"/>
          <w:b/>
          <w:i w:val="false"/>
          <w:color w:val="000000"/>
          <w:sz w:val="22"/>
        </w:rPr>
        <w:t>，线上增速高出线下零售</w:t>
      </w:r>
      <w:r>
        <w:rPr>
          <w:rFonts w:ascii="Times New Roman" w:hAnsi="Times New Roman"/>
          <w:b w:val="false"/>
          <w:i w:val="false"/>
          <w:color w:val="000000"/>
          <w:sz w:val="22"/>
        </w:rPr>
        <w:t>4.1pct**，对实体百货的替代效应进一步加剧。</w:t>
      </w:r>
    </w:p>
    <w:p>
      <w:pPr>
        <w:spacing w:before="269" w:after="269"/>
        <w:ind w:left="120"/>
        <w:jc w:val="left"/>
      </w:pPr>
      <w:r>
        <w:rPr>
          <w:rFonts w:ascii="Times New Roman" w:hAnsi="Times New Roman"/>
          <w:b w:val="false"/>
          <w:i w:val="false"/>
          <w:color w:val="000000"/>
          <w:sz w:val="22"/>
        </w:rPr>
        <w:t>全国百家重点大型零售企业（以百货为主）的零售额2024年同比**-4.6%</w:t>
      </w:r>
      <w:r>
        <w:rPr>
          <w:rFonts w:ascii="Times New Roman" w:hAnsi="Times New Roman"/>
          <w:b/>
          <w:i w:val="false"/>
          <w:color w:val="000000"/>
          <w:sz w:val="22"/>
        </w:rPr>
        <w:t>，且直到年末才出现降幅收窄迹象。 对应的利润端，2024年全国百货零售业利润约</w:t>
      </w:r>
      <w:r>
        <w:rPr>
          <w:rFonts w:ascii="Times New Roman" w:hAnsi="Times New Roman"/>
          <w:b w:val="false"/>
          <w:i w:val="false"/>
          <w:color w:val="000000"/>
          <w:sz w:val="22"/>
        </w:rPr>
        <w:t>313.7亿元**，在社零恢复背景下仍处于偏低水平。</w:t>
      </w:r>
    </w:p>
    <w:p>
      <w:pPr>
        <w:spacing w:before="269" w:after="269"/>
        <w:ind w:left="120"/>
        <w:jc w:val="left"/>
      </w:pPr>
      <w:r>
        <w:rPr>
          <w:rFonts w:ascii="Times New Roman" w:hAnsi="Times New Roman"/>
          <w:b w:val="false"/>
          <w:i w:val="false"/>
          <w:color w:val="000000"/>
          <w:sz w:val="22"/>
        </w:rPr>
        <w:t>2025年以来，随着促消费政策持续落地，社零在2025Q1同比**+4.6%</w:t>
      </w:r>
      <w:r>
        <w:rPr>
          <w:rFonts w:ascii="Times New Roman" w:hAnsi="Times New Roman"/>
          <w:b/>
          <w:i w:val="false"/>
          <w:color w:val="000000"/>
          <w:sz w:val="22"/>
        </w:rPr>
        <w:t>，较2024年全年回升</w:t>
      </w:r>
      <w:r>
        <w:rPr>
          <w:rFonts w:ascii="Times New Roman" w:hAnsi="Times New Roman"/>
          <w:b w:val="false"/>
          <w:i w:val="false"/>
          <w:color w:val="000000"/>
          <w:sz w:val="22"/>
        </w:rPr>
        <w:t>1.1pct**，线下零售增速与线上差距缩小到</w:t>
      </w:r>
      <w:r>
        <w:rPr>
          <w:rFonts w:ascii="Times New Roman" w:hAnsi="Times New Roman"/>
          <w:b/>
          <w:i w:val="false"/>
          <w:color w:val="000000"/>
          <w:sz w:val="22"/>
        </w:rPr>
        <w:t>1.4pct</w:t>
      </w:r>
      <w:r>
        <w:rPr>
          <w:rFonts w:ascii="Times New Roman" w:hAnsi="Times New Roman"/>
          <w:b w:val="false"/>
          <w:i w:val="false"/>
          <w:color w:val="000000"/>
          <w:sz w:val="22"/>
        </w:rPr>
        <w:t>，百货零售额在2025年1-7月已由负转正至**+1.1%**，显示出行业“弱修复”特征。</w:t>
      </w:r>
    </w:p>
    <w:p>
      <w:pPr>
        <w:spacing w:before="269" w:after="269"/>
        <w:ind w:left="120"/>
        <w:jc w:val="left"/>
      </w:pPr>
      <w:r>
        <w:rPr>
          <w:rFonts w:ascii="Times New Roman" w:hAnsi="Times New Roman"/>
          <w:b w:val="false"/>
          <w:i w:val="false"/>
          <w:color w:val="000000"/>
          <w:sz w:val="22"/>
        </w:rPr>
        <w:t>但从资本市场和板块盈利看，</w:t>
      </w:r>
      <w:r>
        <w:rPr>
          <w:rFonts w:ascii="Times New Roman" w:hAnsi="Times New Roman"/>
          <w:b/>
          <w:i w:val="false"/>
          <w:color w:val="000000"/>
          <w:sz w:val="22"/>
        </w:rPr>
        <w:t>超市/百货板块仍明显承压</w:t>
      </w:r>
      <w:r>
        <w:rPr>
          <w:rFonts w:ascii="Times New Roman" w:hAnsi="Times New Roman"/>
          <w:b w:val="false"/>
          <w:i w:val="false"/>
          <w:color w:val="000000"/>
          <w:sz w:val="22"/>
        </w:rPr>
        <w:t>：</w:t>
      </w:r>
    </w:p>
    <w:p>
      <w:pPr>
        <w:numPr>
          <w:ilvl w:val="0"/>
          <w:numId w:val="20"/>
        </w:numPr>
        <w:spacing w:before="0" w:after="0"/>
        <w:jc w:val="left"/>
      </w:pPr>
      <w:r>
        <w:rPr>
          <w:rFonts w:ascii="Times New Roman" w:hAnsi="Times New Roman"/>
          <w:b w:val="false"/>
          <w:i w:val="false"/>
          <w:color w:val="000000"/>
          <w:sz w:val="22"/>
        </w:rPr>
        <w:t>2024年超市/百货板块利润分别同比**-38%/-15%**；</w:t>
      </w:r>
    </w:p>
    <w:p>
      <w:pPr>
        <w:numPr>
          <w:ilvl w:val="0"/>
          <w:numId w:val="20"/>
        </w:numPr>
        <w:spacing w:before="0" w:after="0"/>
        <w:jc w:val="left"/>
      </w:pPr>
      <w:r>
        <w:rPr>
          <w:rFonts w:ascii="Times New Roman" w:hAnsi="Times New Roman"/>
          <w:b w:val="false"/>
          <w:i w:val="false"/>
          <w:color w:val="000000"/>
          <w:sz w:val="22"/>
        </w:rPr>
        <w:t>2025Q3超市/百货整体营收同比增速分别为**-17.9%/+7.6%</w:t>
      </w:r>
      <w:r>
        <w:rPr>
          <w:rFonts w:ascii="Times New Roman" w:hAnsi="Times New Roman"/>
          <w:b/>
          <w:i w:val="false"/>
          <w:color w:val="000000"/>
          <w:sz w:val="22"/>
        </w:rPr>
        <w:t>，利润合计为</w:t>
      </w:r>
      <w:r>
        <w:rPr>
          <w:rFonts w:ascii="Times New Roman" w:hAnsi="Times New Roman"/>
          <w:b w:val="false"/>
          <w:i w:val="false"/>
          <w:color w:val="000000"/>
          <w:sz w:val="22"/>
        </w:rPr>
        <w:t>-6.3/-1.4亿元**。</w:t>
      </w:r>
    </w:p>
    <w:p>
      <w:pPr>
        <w:spacing w:before="269" w:after="269"/>
        <w:ind w:left="120"/>
        <w:jc w:val="left"/>
      </w:pPr>
      <w:r>
        <w:rPr>
          <w:rFonts w:ascii="Times New Roman" w:hAnsi="Times New Roman"/>
          <w:b w:val="false"/>
          <w:i w:val="false"/>
          <w:color w:val="000000"/>
          <w:sz w:val="22"/>
        </w:rPr>
        <w:t>这意味着：即使收入端在底部企稳，</w:t>
      </w:r>
      <w:r>
        <w:rPr>
          <w:rFonts w:ascii="Times New Roman" w:hAnsi="Times New Roman"/>
          <w:b/>
          <w:i w:val="false"/>
          <w:color w:val="000000"/>
          <w:sz w:val="22"/>
        </w:rPr>
        <w:t>价格战和促销强度仍压制百货企业利润率</w:t>
      </w:r>
      <w:r>
        <w:rPr>
          <w:rFonts w:ascii="Times New Roman" w:hAnsi="Times New Roman"/>
          <w:b w:val="false"/>
          <w:i w:val="false"/>
          <w:color w:val="000000"/>
          <w:sz w:val="22"/>
        </w:rPr>
        <w:t>，盈利修复明显滞后于收入修复。</w:t>
      </w:r>
    </w:p>
    <w:p>
      <w:pPr>
        <w:spacing w:before="199" w:after="199"/>
        <w:ind w:left="120"/>
        <w:jc w:val="left"/>
      </w:pPr>
      <w:r>
        <w:rPr>
          <w:rFonts w:ascii="Times New Roman" w:hAnsi="Times New Roman"/>
          <w:b/>
          <w:i w:val="false"/>
          <w:color w:val="000000"/>
          <w:sz w:val="26"/>
        </w:rPr>
        <w:t>2.1.2 杭州零售：总量温和增长，核心商圈更强</w:t>
      </w:r>
    </w:p>
    <w:p>
      <w:pPr>
        <w:spacing w:before="269" w:after="269"/>
        <w:ind w:left="120"/>
        <w:jc w:val="left"/>
      </w:pPr>
      <w:r>
        <w:rPr>
          <w:rFonts w:ascii="Times New Roman" w:hAnsi="Times New Roman"/>
          <w:b w:val="false"/>
          <w:i w:val="false"/>
          <w:color w:val="000000"/>
          <w:sz w:val="22"/>
        </w:rPr>
        <w:t>杭州所在区域的消费基本面优于全国平均。2024年杭州市社会消费品零售总额</w:t>
      </w:r>
      <w:r>
        <w:rPr>
          <w:rFonts w:ascii="Times New Roman" w:hAnsi="Times New Roman"/>
          <w:b/>
          <w:i w:val="false"/>
          <w:color w:val="000000"/>
          <w:sz w:val="22"/>
        </w:rPr>
        <w:t>7,884亿元，同比增长2.8%</w:t>
      </w:r>
      <w:r>
        <w:rPr>
          <w:rFonts w:ascii="Times New Roman" w:hAnsi="Times New Roman"/>
          <w:b w:val="false"/>
          <w:i w:val="false"/>
          <w:color w:val="000000"/>
          <w:sz w:val="22"/>
        </w:rPr>
        <w:t>；商品零售**+3.2%</w:t>
      </w:r>
      <w:r>
        <w:rPr>
          <w:rFonts w:ascii="Times New Roman" w:hAnsi="Times New Roman"/>
          <w:b/>
          <w:i w:val="false"/>
          <w:color w:val="000000"/>
          <w:sz w:val="22"/>
        </w:rPr>
        <w:t>，餐饮收入</w:t>
      </w:r>
      <w:r>
        <w:rPr>
          <w:rFonts w:ascii="Times New Roman" w:hAnsi="Times New Roman"/>
          <w:b w:val="false"/>
          <w:i w:val="false"/>
          <w:color w:val="000000"/>
          <w:sz w:val="22"/>
        </w:rPr>
        <w:t>+0.8%</w:t>
      </w:r>
      <w:r>
        <w:rPr>
          <w:rFonts w:ascii="Times New Roman" w:hAnsi="Times New Roman"/>
          <w:b/>
          <w:i w:val="false"/>
          <w:color w:val="000000"/>
          <w:sz w:val="22"/>
        </w:rPr>
        <w:t>。 2025年一季度，在促消费政策带动下，全国社零提速，杭州作为</w:t>
      </w:r>
      <w:r>
        <w:rPr>
          <w:rFonts w:ascii="Times New Roman" w:hAnsi="Times New Roman"/>
          <w:b w:val="false"/>
          <w:i w:val="false"/>
          <w:color w:val="000000"/>
          <w:sz w:val="22"/>
        </w:rPr>
        <w:t>人口净流入、数字经济占比高**的核心城市，消费修复弹性更强。</w:t>
      </w:r>
    </w:p>
    <w:p>
      <w:pPr>
        <w:spacing w:before="269" w:after="269"/>
        <w:ind w:left="120"/>
        <w:jc w:val="left"/>
      </w:pPr>
      <w:r>
        <w:rPr>
          <w:rFonts w:ascii="Times New Roman" w:hAnsi="Times New Roman"/>
          <w:b w:val="false"/>
          <w:i w:val="false"/>
          <w:color w:val="000000"/>
          <w:sz w:val="22"/>
        </w:rPr>
        <w:t>更重要的是供给和库存结构：</w:t>
      </w:r>
    </w:p>
    <w:p>
      <w:pPr>
        <w:numPr>
          <w:ilvl w:val="0"/>
          <w:numId w:val="21"/>
        </w:numPr>
        <w:spacing w:before="0" w:after="0"/>
        <w:jc w:val="left"/>
      </w:pPr>
      <w:r>
        <w:rPr>
          <w:rFonts w:ascii="Times New Roman" w:hAnsi="Times New Roman"/>
          <w:b w:val="false"/>
          <w:i w:val="false"/>
          <w:color w:val="000000"/>
          <w:sz w:val="22"/>
        </w:rPr>
        <w:t>截至2025/1，杭州住宅取证库存仅</w:t>
      </w:r>
      <w:r>
        <w:rPr>
          <w:rFonts w:ascii="Times New Roman" w:hAnsi="Times New Roman"/>
          <w:b/>
          <w:i w:val="false"/>
          <w:color w:val="000000"/>
          <w:sz w:val="22"/>
        </w:rPr>
        <w:t>8个月</w:t>
      </w:r>
      <w:r>
        <w:rPr>
          <w:rFonts w:ascii="Times New Roman" w:hAnsi="Times New Roman"/>
          <w:b w:val="false"/>
          <w:i w:val="false"/>
          <w:color w:val="000000"/>
          <w:sz w:val="22"/>
        </w:rPr>
        <w:t>，核心四区库存多在</w:t>
      </w:r>
      <w:r>
        <w:rPr>
          <w:rFonts w:ascii="Times New Roman" w:hAnsi="Times New Roman"/>
          <w:b/>
          <w:i w:val="false"/>
          <w:color w:val="000000"/>
          <w:sz w:val="22"/>
        </w:rPr>
        <w:t>3-5个月</w:t>
      </w:r>
      <w:r>
        <w:rPr>
          <w:rFonts w:ascii="Times New Roman" w:hAnsi="Times New Roman"/>
          <w:b w:val="false"/>
          <w:i w:val="false"/>
          <w:color w:val="000000"/>
          <w:sz w:val="22"/>
        </w:rPr>
        <w:t>，创2015年以来新低，土地供应自2021年起持续缩量，2024年宅地成交金额较21年高点下降</w:t>
      </w:r>
      <w:r>
        <w:rPr>
          <w:rFonts w:ascii="Times New Roman" w:hAnsi="Times New Roman"/>
          <w:b/>
          <w:i w:val="false"/>
          <w:color w:val="000000"/>
          <w:sz w:val="22"/>
        </w:rPr>
        <w:t>57%</w:t>
      </w:r>
      <w:r>
        <w:rPr>
          <w:rFonts w:ascii="Times New Roman" w:hAnsi="Times New Roman"/>
          <w:b w:val="false"/>
          <w:i w:val="false"/>
          <w:color w:val="000000"/>
          <w:sz w:val="22"/>
        </w:rPr>
        <w:t>，核心四区占比提升至</w:t>
      </w:r>
      <w:r>
        <w:rPr>
          <w:rFonts w:ascii="Times New Roman" w:hAnsi="Times New Roman"/>
          <w:b/>
          <w:i w:val="false"/>
          <w:color w:val="000000"/>
          <w:sz w:val="22"/>
        </w:rPr>
        <w:t>56%</w:t>
      </w:r>
      <w:r>
        <w:rPr>
          <w:rFonts w:ascii="Times New Roman" w:hAnsi="Times New Roman"/>
          <w:b w:val="false"/>
          <w:i w:val="false"/>
          <w:color w:val="000000"/>
          <w:sz w:val="22"/>
        </w:rPr>
        <w:t>。</w:t>
      </w:r>
    </w:p>
    <w:p>
      <w:pPr>
        <w:numPr>
          <w:ilvl w:val="0"/>
          <w:numId w:val="21"/>
        </w:numPr>
        <w:spacing w:before="0" w:after="0"/>
        <w:jc w:val="left"/>
      </w:pPr>
      <w:r>
        <w:rPr>
          <w:rFonts w:ascii="Times New Roman" w:hAnsi="Times New Roman"/>
          <w:b w:val="false"/>
          <w:i w:val="false"/>
          <w:color w:val="000000"/>
          <w:sz w:val="22"/>
        </w:rPr>
        <w:t>对商业而言，2025H1杭州零售物业全市存量</w:t>
      </w:r>
      <w:r>
        <w:rPr>
          <w:rFonts w:ascii="Times New Roman" w:hAnsi="Times New Roman"/>
          <w:b/>
          <w:i w:val="false"/>
          <w:color w:val="000000"/>
          <w:sz w:val="22"/>
        </w:rPr>
        <w:t>约730万㎡</w:t>
      </w:r>
      <w:r>
        <w:rPr>
          <w:rFonts w:ascii="Times New Roman" w:hAnsi="Times New Roman"/>
          <w:b w:val="false"/>
          <w:i w:val="false"/>
          <w:color w:val="000000"/>
          <w:sz w:val="22"/>
        </w:rPr>
        <w:t>，整体空置率</w:t>
      </w:r>
      <w:r>
        <w:rPr>
          <w:rFonts w:ascii="Times New Roman" w:hAnsi="Times New Roman"/>
          <w:b/>
          <w:i w:val="false"/>
          <w:color w:val="000000"/>
          <w:sz w:val="22"/>
        </w:rPr>
        <w:t>9.7%</w:t>
      </w:r>
      <w:r>
        <w:rPr>
          <w:rFonts w:ascii="Times New Roman" w:hAnsi="Times New Roman"/>
          <w:b w:val="false"/>
          <w:i w:val="false"/>
          <w:color w:val="000000"/>
          <w:sz w:val="22"/>
        </w:rPr>
        <w:t>，武林/湖滨等传统高端商圈空置率仅</w:t>
      </w:r>
      <w:r>
        <w:rPr>
          <w:rFonts w:ascii="Times New Roman" w:hAnsi="Times New Roman"/>
          <w:b/>
          <w:i w:val="false"/>
          <w:color w:val="000000"/>
          <w:sz w:val="22"/>
        </w:rPr>
        <w:t>4.7%/5.2%</w:t>
      </w:r>
      <w:r>
        <w:rPr>
          <w:rFonts w:ascii="Times New Roman" w:hAnsi="Times New Roman"/>
          <w:b w:val="false"/>
          <w:i w:val="false"/>
          <w:color w:val="000000"/>
          <w:sz w:val="22"/>
        </w:rPr>
        <w:t>，租金区间分别为</w:t>
      </w:r>
      <w:r>
        <w:rPr>
          <w:rFonts w:ascii="Times New Roman" w:hAnsi="Times New Roman"/>
          <w:b/>
          <w:i w:val="false"/>
          <w:color w:val="000000"/>
          <w:sz w:val="22"/>
        </w:rPr>
        <w:t>800-1500元/㎡·月、700-1500元/㎡·月</w:t>
      </w:r>
      <w:r>
        <w:rPr>
          <w:rFonts w:ascii="Times New Roman" w:hAnsi="Times New Roman"/>
          <w:b w:val="false"/>
          <w:i w:val="false"/>
          <w:color w:val="000000"/>
          <w:sz w:val="22"/>
        </w:rPr>
        <w:t>。</w:t>
      </w:r>
    </w:p>
    <w:p>
      <w:pPr>
        <w:spacing w:before="269" w:after="269"/>
        <w:ind w:left="120"/>
        <w:jc w:val="left"/>
      </w:pPr>
      <w:r>
        <w:rPr>
          <w:rFonts w:ascii="Times New Roman" w:hAnsi="Times New Roman"/>
          <w:b w:val="false"/>
          <w:i w:val="false"/>
          <w:color w:val="000000"/>
          <w:sz w:val="22"/>
        </w:rPr>
        <w:t>低空置+稳定租金，说明杭州核心商圈的需求仍然稳健，</w:t>
      </w:r>
      <w:r>
        <w:rPr>
          <w:rFonts w:ascii="Times New Roman" w:hAnsi="Times New Roman"/>
          <w:b/>
          <w:i w:val="false"/>
          <w:color w:val="000000"/>
          <w:sz w:val="22"/>
        </w:rPr>
        <w:t>供给侧压力更多集中在非核心、边缘板块的中低质量项目</w:t>
      </w:r>
      <w:r>
        <w:rPr>
          <w:rFonts w:ascii="Times New Roman" w:hAnsi="Times New Roman"/>
          <w:b w:val="false"/>
          <w:i w:val="false"/>
          <w:color w:val="000000"/>
          <w:sz w:val="22"/>
        </w:rPr>
        <w:t>。这与全国层面“优质购物中心空置率改善、租金跌幅收窄”的趋势一致。</w:t>
      </w:r>
    </w:p>
    <w:p>
      <w:pPr>
        <w:spacing w:before="180" w:after="180"/>
        <w:ind w:left="120"/>
        <w:jc w:val="left"/>
      </w:pPr>
      <w:r>
        <w:rPr>
          <w:rFonts w:ascii="Times New Roman" w:hAnsi="Times New Roman"/>
          <w:b/>
          <w:i w:val="false"/>
          <w:color w:val="000000"/>
          <w:sz w:val="33"/>
        </w:rPr>
        <w:t>2.2 杭州市场竞争格局：重奢与体验场景驱动的再分配</w:t>
      </w:r>
    </w:p>
    <w:p>
      <w:pPr>
        <w:spacing w:before="199" w:after="199"/>
        <w:ind w:left="120"/>
        <w:jc w:val="left"/>
      </w:pPr>
      <w:r>
        <w:rPr>
          <w:rFonts w:ascii="Times New Roman" w:hAnsi="Times New Roman"/>
          <w:b/>
          <w:i w:val="false"/>
          <w:color w:val="000000"/>
          <w:sz w:val="26"/>
        </w:rPr>
        <w:t>2.2.1 重奢三强格局与未来新玩家</w:t>
      </w:r>
    </w:p>
    <w:p>
      <w:pPr>
        <w:spacing w:before="269" w:after="269"/>
        <w:ind w:left="120"/>
        <w:jc w:val="left"/>
      </w:pPr>
      <w:r>
        <w:rPr>
          <w:rFonts w:ascii="Times New Roman" w:hAnsi="Times New Roman"/>
          <w:b w:val="false"/>
          <w:i w:val="false"/>
          <w:color w:val="000000"/>
          <w:sz w:val="22"/>
        </w:rPr>
        <w:t>在高端百货/购物中心领域，杭州已形成以</w:t>
      </w:r>
      <w:r>
        <w:rPr>
          <w:rFonts w:ascii="Times New Roman" w:hAnsi="Times New Roman"/>
          <w:b/>
          <w:i w:val="false"/>
          <w:color w:val="000000"/>
          <w:sz w:val="22"/>
        </w:rPr>
        <w:t>杭州大厦（解百）、湖滨银泰in77、杭州万象城</w:t>
      </w:r>
      <w:r>
        <w:rPr>
          <w:rFonts w:ascii="Times New Roman" w:hAnsi="Times New Roman"/>
          <w:b w:val="false"/>
          <w:i w:val="false"/>
          <w:color w:val="000000"/>
          <w:sz w:val="22"/>
        </w:rPr>
        <w:t>为核心的“重奢三强”格局。</w:t>
      </w:r>
    </w:p>
    <w:p>
      <w:pPr>
        <w:numPr>
          <w:ilvl w:val="0"/>
          <w:numId w:val="22"/>
        </w:numPr>
        <w:spacing w:before="0" w:after="0"/>
        <w:jc w:val="left"/>
      </w:pPr>
      <w:r>
        <w:rPr>
          <w:rFonts w:ascii="Times New Roman" w:hAnsi="Times New Roman"/>
          <w:b/>
          <w:i w:val="false"/>
          <w:color w:val="000000"/>
          <w:sz w:val="22"/>
        </w:rPr>
        <w:t>杭州大厦</w:t>
      </w:r>
      <w:r>
        <w:rPr>
          <w:rFonts w:ascii="Times New Roman" w:hAnsi="Times New Roman"/>
          <w:b w:val="false"/>
          <w:i w:val="false"/>
          <w:color w:val="000000"/>
          <w:sz w:val="22"/>
        </w:rPr>
        <w:t>：由杭州解百控股60%，集齐爱马仕、香奈儿、LV、Dior、Gucci、Prada等六大顶奢品牌，以及Harry Winston、Graff等高奢珠宝，是浙江唯一顶奢皮具+高珠+高端生活业态齐全的重奢商业体，2023年销售额约</w:t>
      </w:r>
      <w:r>
        <w:rPr>
          <w:rFonts w:ascii="Times New Roman" w:hAnsi="Times New Roman"/>
          <w:b/>
          <w:i w:val="false"/>
          <w:color w:val="000000"/>
          <w:sz w:val="22"/>
        </w:rPr>
        <w:t>140亿元</w:t>
      </w:r>
      <w:r>
        <w:rPr>
          <w:rFonts w:ascii="Times New Roman" w:hAnsi="Times New Roman"/>
          <w:b w:val="false"/>
          <w:i w:val="false"/>
          <w:color w:val="000000"/>
          <w:sz w:val="22"/>
        </w:rPr>
        <w:t>，2024年整体销售大致持平略降。</w:t>
      </w:r>
    </w:p>
    <w:p>
      <w:pPr>
        <w:numPr>
          <w:ilvl w:val="0"/>
          <w:numId w:val="22"/>
        </w:numPr>
        <w:spacing w:before="0" w:after="0"/>
        <w:jc w:val="left"/>
      </w:pPr>
      <w:r>
        <w:rPr>
          <w:rFonts w:ascii="Times New Roman" w:hAnsi="Times New Roman"/>
          <w:b/>
          <w:i w:val="false"/>
          <w:color w:val="000000"/>
          <w:sz w:val="22"/>
        </w:rPr>
        <w:t>湖滨银泰in77</w:t>
      </w:r>
      <w:r>
        <w:rPr>
          <w:rFonts w:ascii="Times New Roman" w:hAnsi="Times New Roman"/>
          <w:b w:val="false"/>
          <w:i w:val="false"/>
          <w:color w:val="000000"/>
          <w:sz w:val="22"/>
        </w:rPr>
        <w:t>：银泰系旗舰，2023年前后奢侈品销售规模约</w:t>
      </w:r>
      <w:r>
        <w:rPr>
          <w:rFonts w:ascii="Times New Roman" w:hAnsi="Times New Roman"/>
          <w:b/>
          <w:i w:val="false"/>
          <w:color w:val="000000"/>
          <w:sz w:val="22"/>
        </w:rPr>
        <w:t>105亿元</w:t>
      </w:r>
      <w:r>
        <w:rPr>
          <w:rFonts w:ascii="Times New Roman" w:hAnsi="Times New Roman"/>
          <w:b w:val="false"/>
          <w:i w:val="false"/>
          <w:color w:val="000000"/>
          <w:sz w:val="22"/>
        </w:rPr>
        <w:t>左右，持续通过与阿里协同、数字化运营强化高端消费黏性。</w:t>
      </w:r>
    </w:p>
    <w:p>
      <w:pPr>
        <w:numPr>
          <w:ilvl w:val="0"/>
          <w:numId w:val="22"/>
        </w:numPr>
        <w:spacing w:before="0" w:after="0"/>
        <w:jc w:val="left"/>
      </w:pPr>
      <w:r>
        <w:rPr>
          <w:rFonts w:ascii="Times New Roman" w:hAnsi="Times New Roman"/>
          <w:b/>
          <w:i w:val="false"/>
          <w:color w:val="000000"/>
          <w:sz w:val="22"/>
        </w:rPr>
        <w:t>杭州万象城</w:t>
      </w:r>
      <w:r>
        <w:rPr>
          <w:rFonts w:ascii="Times New Roman" w:hAnsi="Times New Roman"/>
          <w:b w:val="false"/>
          <w:i w:val="false"/>
          <w:color w:val="000000"/>
          <w:sz w:val="22"/>
        </w:rPr>
        <w:t>：华润万象系，2024年重奢品牌组合和体验业态继续升级，在2023-2024年逐步追赶杭州大厦，奢侈品销售排名紧随其后。</w:t>
      </w:r>
    </w:p>
    <w:p>
      <w:pPr>
        <w:spacing w:before="269" w:after="269"/>
        <w:ind w:left="120"/>
        <w:jc w:val="left"/>
      </w:pPr>
      <w:r>
        <w:rPr>
          <w:rFonts w:ascii="Times New Roman" w:hAnsi="Times New Roman"/>
          <w:b w:val="false"/>
          <w:i w:val="false"/>
          <w:color w:val="000000"/>
          <w:sz w:val="22"/>
        </w:rPr>
        <w:t>2025年起，杭州将迎来</w:t>
      </w:r>
      <w:r>
        <w:rPr>
          <w:rFonts w:ascii="Times New Roman" w:hAnsi="Times New Roman"/>
          <w:b/>
          <w:i w:val="false"/>
          <w:color w:val="000000"/>
          <w:sz w:val="22"/>
        </w:rPr>
        <w:t>K11、恒隆广场、亚奥万象天地、光环梦中心</w:t>
      </w:r>
      <w:r>
        <w:rPr>
          <w:rFonts w:ascii="Times New Roman" w:hAnsi="Times New Roman"/>
          <w:b w:val="false"/>
          <w:i w:val="false"/>
          <w:color w:val="000000"/>
          <w:sz w:val="22"/>
        </w:rPr>
        <w:t>等新项目入市，特别是恒隆广场、未来SKP类项目将进一步加剧重奢商圈的竞争。 然而，从奢侈品牌布局策略看，新增供给并不会简单“摊薄”存量头部项目的客流：</w:t>
      </w:r>
    </w:p>
    <w:p>
      <w:pPr>
        <w:numPr>
          <w:ilvl w:val="0"/>
          <w:numId w:val="23"/>
        </w:numPr>
        <w:spacing w:before="0" w:after="0"/>
        <w:jc w:val="left"/>
      </w:pPr>
      <w:r>
        <w:rPr>
          <w:rFonts w:ascii="Times New Roman" w:hAnsi="Times New Roman"/>
          <w:b w:val="false"/>
          <w:i w:val="false"/>
          <w:color w:val="000000"/>
          <w:sz w:val="22"/>
        </w:rPr>
        <w:t>2024-2025年奢侈品牌闭店主要集中在</w:t>
      </w:r>
      <w:r>
        <w:rPr>
          <w:rFonts w:ascii="Times New Roman" w:hAnsi="Times New Roman"/>
          <w:b/>
          <w:i w:val="false"/>
          <w:color w:val="000000"/>
          <w:sz w:val="22"/>
        </w:rPr>
        <w:t>城市非头部重奢购物中心</w:t>
      </w:r>
      <w:r>
        <w:rPr>
          <w:rFonts w:ascii="Times New Roman" w:hAnsi="Times New Roman"/>
          <w:b w:val="false"/>
          <w:i w:val="false"/>
          <w:color w:val="000000"/>
          <w:sz w:val="22"/>
        </w:rPr>
        <w:t>，而头部项目通过引入高增速品牌、承接其他商场关店客流、提档升级及扩建，仍有望维持零售额和租金增长。</w:t>
      </w:r>
    </w:p>
    <w:p>
      <w:pPr>
        <w:spacing w:before="269" w:after="269"/>
        <w:ind w:left="120"/>
        <w:jc w:val="left"/>
      </w:pPr>
      <w:r>
        <w:rPr>
          <w:rFonts w:ascii="Times New Roman" w:hAnsi="Times New Roman"/>
          <w:b w:val="false"/>
          <w:i w:val="false"/>
          <w:color w:val="000000"/>
          <w:sz w:val="22"/>
        </w:rPr>
        <w:t>因此，在以重奢为核心的高端零售赛道上，</w:t>
      </w:r>
      <w:r>
        <w:rPr>
          <w:rFonts w:ascii="Times New Roman" w:hAnsi="Times New Roman"/>
          <w:b/>
          <w:i w:val="false"/>
          <w:color w:val="000000"/>
          <w:sz w:val="22"/>
        </w:rPr>
        <w:t>强者恒强</w:t>
      </w:r>
      <w:r>
        <w:rPr>
          <w:rFonts w:ascii="Times New Roman" w:hAnsi="Times New Roman"/>
          <w:b w:val="false"/>
          <w:i w:val="false"/>
          <w:color w:val="000000"/>
          <w:sz w:val="22"/>
        </w:rPr>
        <w:t>的趋势非常明确，杭州大厦、湖滨银泰、万象城等头部项目的竞争更类似“龙头内部分配”，而非与普通百货的同场博弈。</w:t>
      </w:r>
    </w:p>
    <w:p>
      <w:pPr>
        <w:spacing w:before="199" w:after="199"/>
        <w:ind w:left="120"/>
        <w:jc w:val="left"/>
      </w:pPr>
      <w:r>
        <w:rPr>
          <w:rFonts w:ascii="Times New Roman" w:hAnsi="Times New Roman"/>
          <w:b/>
          <w:i w:val="false"/>
          <w:color w:val="000000"/>
          <w:sz w:val="26"/>
        </w:rPr>
        <w:t>2.2.2 杭州三大百货与百大的相对位势</w:t>
      </w:r>
    </w:p>
    <w:p>
      <w:pPr>
        <w:spacing w:before="269" w:after="269"/>
        <w:ind w:left="120"/>
        <w:jc w:val="left"/>
      </w:pPr>
      <w:r>
        <w:rPr>
          <w:rFonts w:ascii="Times New Roman" w:hAnsi="Times New Roman"/>
          <w:b w:val="false"/>
          <w:i w:val="false"/>
          <w:color w:val="000000"/>
          <w:sz w:val="22"/>
        </w:rPr>
        <w:t>下图直观展示了2024-2025年杭州三大百货（杭州大厦/银泰系/百大集团）的相对市占率变化与核心商圈租金走势：</w:t>
      </w:r>
    </w:p>
    <w:p>
      <w:pPr>
        <w:spacing w:before="269" w:after="269"/>
        <w:ind w:left="120"/>
        <w:jc w:val="left"/>
      </w:pPr>
      <w:r>
        <w:drawing>
          <wp:inline distT="0" distB="0" distL="0" distR="0">
            <wp:extent cx="5732145" cy="3199337"/>
            <wp:effectExtent l="0" t="0" r="0" b="0"/>
            <wp:docPr id="2" name="" descr=""/>
            <wp:cNvGraphicFramePr>
              <a:graphicFrameLocks noChangeAspect="true"/>
            </wp:cNvGraphicFramePr>
            <a:graphic>
              <a:graphicData uri="http://schemas.openxmlformats.org/drawingml/2006/picture">
                <pic:pic>
                  <pic:nvPicPr>
                    <pic:cNvPr id="1" name=""/>
                    <pic:cNvPicPr/>
                  </pic:nvPicPr>
                  <pic:blipFill>
                    <a:blip r:embed="rId4"/>
                    <a:stretch>
                      <a:fillRect/>
                    </a:stretch>
                  </pic:blipFill>
                  <pic:spPr>
                    <a:xfrm>
                      <a:off x="0" y="0"/>
                      <a:ext cx="5732145" cy="3199337"/>
                    </a:xfrm>
                    <a:prstGeom prst="rect">
                      <a:avLst/>
                    </a:prstGeom>
                  </pic:spPr>
                </pic:pic>
              </a:graphicData>
            </a:graphic>
          </wp:inline>
        </w:drawing>
      </w:r>
      <w:r>
        <w:rPr>
          <w:rFonts w:ascii="Times New Roman" w:hAnsi="Times New Roman"/>
          <w:b w:val="false"/>
          <w:i w:val="false"/>
          <w:color w:val="000000"/>
          <w:sz w:val="22"/>
        </w:rPr>
        <w:t xml:space="preserve"> </w:t>
      </w:r>
      <w:r>
        <w:rPr>
          <w:rFonts w:ascii="Times New Roman" w:hAnsi="Times New Roman"/>
          <w:b/>
          <w:i w:val="false"/>
          <w:color w:val="000000"/>
          <w:sz w:val="22"/>
        </w:rPr>
        <w:t>图1：杭州三大百货2024-2025市占率与租金走势对比</w:t>
      </w:r>
    </w:p>
    <w:p>
      <w:pPr>
        <w:spacing w:before="269" w:after="269"/>
        <w:ind w:left="120"/>
        <w:jc w:val="left"/>
      </w:pPr>
      <w:r>
        <w:rPr>
          <w:rFonts w:ascii="Times New Roman" w:hAnsi="Times New Roman"/>
          <w:b w:val="false"/>
          <w:i w:val="false"/>
          <w:color w:val="000000"/>
          <w:sz w:val="22"/>
        </w:rPr>
        <w:t>图中可以看到： 一是以杭州大厦（解百）为代表的</w:t>
      </w:r>
      <w:r>
        <w:rPr>
          <w:rFonts w:ascii="Times New Roman" w:hAnsi="Times New Roman"/>
          <w:b/>
          <w:i w:val="false"/>
          <w:color w:val="000000"/>
          <w:sz w:val="22"/>
        </w:rPr>
        <w:t>重奢百货市占率虽略有回落（指数从100降至91），但仍处绝对高位</w:t>
      </w:r>
      <w:r>
        <w:rPr>
          <w:rFonts w:ascii="Times New Roman" w:hAnsi="Times New Roman"/>
          <w:b w:val="false"/>
          <w:i w:val="false"/>
          <w:color w:val="000000"/>
          <w:sz w:val="22"/>
        </w:rPr>
        <w:t>；银泰系则依托多项目、多业态布局，市占率指数从80升至87，实现逆势提升。二是百大集团对应的市占率指数则自20下滑至14，边缘化趋势明显。</w:t>
      </w:r>
    </w:p>
    <w:p>
      <w:pPr>
        <w:spacing w:before="269" w:after="269"/>
        <w:ind w:left="120"/>
        <w:jc w:val="left"/>
      </w:pPr>
      <w:r>
        <w:rPr>
          <w:rFonts w:ascii="Times New Roman" w:hAnsi="Times New Roman"/>
          <w:b w:val="false"/>
          <w:i w:val="false"/>
          <w:color w:val="000000"/>
          <w:sz w:val="22"/>
        </w:rPr>
        <w:t>这背后是几层结构性差异：</w:t>
      </w:r>
    </w:p>
    <w:p>
      <w:pPr>
        <w:numPr>
          <w:ilvl w:val="0"/>
          <w:numId w:val="24"/>
        </w:numPr>
        <w:spacing w:before="0" w:after="0"/>
        <w:jc w:val="left"/>
      </w:pPr>
      <w:r>
        <w:rPr>
          <w:rFonts w:ascii="Times New Roman" w:hAnsi="Times New Roman"/>
          <w:b/>
          <w:i w:val="false"/>
          <w:color w:val="000000"/>
          <w:sz w:val="22"/>
        </w:rPr>
        <w:t>业态定位与品牌结构差异</w:t>
      </w:r>
    </w:p>
    <w:p>
      <w:pPr>
        <w:numPr>
          <w:ilvl w:val="0"/>
          <w:numId w:val="25"/>
        </w:numPr>
        <w:spacing w:before="0" w:after="0"/>
        <w:jc w:val="left"/>
      </w:pPr>
      <w:r>
        <w:rPr>
          <w:rFonts w:ascii="Times New Roman" w:hAnsi="Times New Roman"/>
          <w:b w:val="false"/>
          <w:i w:val="false"/>
          <w:color w:val="000000"/>
          <w:sz w:val="22"/>
        </w:rPr>
        <w:t>解百集团旗下杭州大厦、解百购物广场，定位中高端/重奢，联营+租赁为主，高坪效高毛利品类（化妆品、珠宝、名表）占比持续提升，联营坪效在2024年4月底同比提升</w:t>
      </w:r>
      <w:r>
        <w:rPr>
          <w:rFonts w:ascii="Times New Roman" w:hAnsi="Times New Roman"/>
          <w:b/>
          <w:i w:val="false"/>
          <w:color w:val="000000"/>
          <w:sz w:val="22"/>
        </w:rPr>
        <w:t>44%</w:t>
      </w:r>
      <w:r>
        <w:rPr>
          <w:rFonts w:ascii="Times New Roman" w:hAnsi="Times New Roman"/>
          <w:b w:val="false"/>
          <w:i w:val="false"/>
          <w:color w:val="000000"/>
          <w:sz w:val="22"/>
        </w:rPr>
        <w:t>，解百商业租赁占比已达</w:t>
      </w:r>
      <w:r>
        <w:rPr>
          <w:rFonts w:ascii="Times New Roman" w:hAnsi="Times New Roman"/>
          <w:b/>
          <w:i w:val="false"/>
          <w:color w:val="000000"/>
          <w:sz w:val="22"/>
        </w:rPr>
        <w:t>53%</w:t>
      </w:r>
      <w:r>
        <w:rPr>
          <w:rFonts w:ascii="Times New Roman" w:hAnsi="Times New Roman"/>
          <w:b w:val="false"/>
          <w:i w:val="false"/>
          <w:color w:val="000000"/>
          <w:sz w:val="22"/>
        </w:rPr>
        <w:t>，整体从“传统百货”快速向购物中心/体验综合体转型。</w:t>
      </w:r>
    </w:p>
    <w:p>
      <w:pPr>
        <w:numPr>
          <w:ilvl w:val="0"/>
          <w:numId w:val="25"/>
        </w:numPr>
        <w:spacing w:before="0" w:after="0"/>
        <w:jc w:val="left"/>
      </w:pPr>
      <w:r>
        <w:rPr>
          <w:rFonts w:ascii="Times New Roman" w:hAnsi="Times New Roman"/>
          <w:b w:val="false"/>
          <w:i w:val="false"/>
          <w:color w:val="000000"/>
          <w:sz w:val="22"/>
        </w:rPr>
        <w:t>银泰系与阿里深度绑定，定位“数字化高端百货”，依托直播电商、会员体系和数据驱动的选品与营销，在线上分流加速的大环境下反而获得更强的导流能力和品牌议价力。</w:t>
      </w:r>
    </w:p>
    <w:p>
      <w:pPr>
        <w:numPr>
          <w:ilvl w:val="0"/>
          <w:numId w:val="25"/>
        </w:numPr>
        <w:spacing w:before="0" w:after="0"/>
        <w:jc w:val="left"/>
      </w:pPr>
      <w:r>
        <w:rPr>
          <w:rFonts w:ascii="Times New Roman" w:hAnsi="Times New Roman"/>
          <w:b w:val="false"/>
          <w:i w:val="false"/>
          <w:color w:val="000000"/>
          <w:sz w:val="22"/>
        </w:rPr>
        <w:t>百大集团则是</w:t>
      </w:r>
      <w:r>
        <w:rPr>
          <w:rFonts w:ascii="Times New Roman" w:hAnsi="Times New Roman"/>
          <w:b/>
          <w:i w:val="false"/>
          <w:color w:val="000000"/>
          <w:sz w:val="22"/>
        </w:rPr>
        <w:t>单店托管模式</w:t>
      </w:r>
      <w:r>
        <w:rPr>
          <w:rFonts w:ascii="Times New Roman" w:hAnsi="Times New Roman"/>
          <w:b w:val="false"/>
          <w:i w:val="false"/>
          <w:color w:val="000000"/>
          <w:sz w:val="22"/>
        </w:rPr>
        <w:t>：杭州百货大楼早在2008年起就将经营权委托给浙江银泰百货，为期20年，由银泰负责经营管理，公司每年收取稳定的委托经营利润，商品销售以联营为主，少量经销、代销，公司自身几乎不承担运营α。</w:t>
      </w:r>
    </w:p>
    <w:p>
      <w:pPr>
        <w:numPr>
          <w:ilvl w:val="0"/>
          <w:numId w:val="26"/>
        </w:numPr>
        <w:spacing w:before="0" w:after="0"/>
        <w:jc w:val="left"/>
      </w:pPr>
      <w:r>
        <w:rPr>
          <w:rFonts w:ascii="Times New Roman" w:hAnsi="Times New Roman"/>
          <w:b/>
          <w:i w:val="false"/>
          <w:color w:val="000000"/>
          <w:sz w:val="22"/>
        </w:rPr>
        <w:t>运营模式与调改节奏差异</w:t>
      </w:r>
    </w:p>
    <w:p>
      <w:pPr>
        <w:numPr>
          <w:ilvl w:val="0"/>
          <w:numId w:val="27"/>
        </w:numPr>
        <w:spacing w:before="0" w:after="0"/>
        <w:jc w:val="left"/>
      </w:pPr>
      <w:r>
        <w:rPr>
          <w:rFonts w:ascii="Times New Roman" w:hAnsi="Times New Roman"/>
          <w:b w:val="false"/>
          <w:i w:val="false"/>
          <w:color w:val="000000"/>
          <w:sz w:val="22"/>
        </w:rPr>
        <w:t>解百、百联、天虹等头部百货企业在2023-2025年加速门店调改，包括“去百货化”“体验化”“年轻化”“资产证券化”等多项动作，如百联ZX创趣场二次元商业体2024年活动近</w:t>
      </w:r>
      <w:r>
        <w:rPr>
          <w:rFonts w:ascii="Times New Roman" w:hAnsi="Times New Roman"/>
          <w:b/>
          <w:i w:val="false"/>
          <w:color w:val="000000"/>
          <w:sz w:val="22"/>
        </w:rPr>
        <w:t>700场</w:t>
      </w:r>
      <w:r>
        <w:rPr>
          <w:rFonts w:ascii="Times New Roman" w:hAnsi="Times New Roman"/>
          <w:b w:val="false"/>
          <w:i w:val="false"/>
          <w:color w:val="000000"/>
          <w:sz w:val="22"/>
        </w:rPr>
        <w:t>，销售**+70%</w:t>
      </w:r>
      <w:r>
        <w:rPr>
          <w:rFonts w:ascii="Times New Roman" w:hAnsi="Times New Roman"/>
          <w:b/>
          <w:i w:val="false"/>
          <w:color w:val="000000"/>
          <w:sz w:val="22"/>
        </w:rPr>
        <w:t>，客流</w:t>
      </w:r>
      <w:r>
        <w:rPr>
          <w:rFonts w:ascii="Times New Roman" w:hAnsi="Times New Roman"/>
          <w:b w:val="false"/>
          <w:i w:val="false"/>
          <w:color w:val="000000"/>
          <w:sz w:val="22"/>
        </w:rPr>
        <w:t>+40%**，成为情绪消费和非标商业转型样本。</w:t>
      </w:r>
    </w:p>
    <w:p>
      <w:pPr>
        <w:numPr>
          <w:ilvl w:val="0"/>
          <w:numId w:val="27"/>
        </w:numPr>
        <w:spacing w:before="0" w:after="0"/>
        <w:jc w:val="left"/>
      </w:pPr>
      <w:r>
        <w:rPr>
          <w:rFonts w:ascii="Times New Roman" w:hAnsi="Times New Roman"/>
          <w:b w:val="false"/>
          <w:i w:val="false"/>
          <w:color w:val="000000"/>
          <w:sz w:val="22"/>
        </w:rPr>
        <w:t>百大集团在托管模式下，百货主业的运营策略与调改节奏由银泰主导，公司在年报中的角色更多是“配合和保障”，自身未形成独立的全渠道与资产运营能力。</w:t>
      </w:r>
    </w:p>
    <w:p>
      <w:pPr>
        <w:numPr>
          <w:ilvl w:val="0"/>
          <w:numId w:val="28"/>
        </w:numPr>
        <w:spacing w:before="0" w:after="0"/>
        <w:jc w:val="left"/>
      </w:pPr>
      <w:r>
        <w:rPr>
          <w:rFonts w:ascii="Times New Roman" w:hAnsi="Times New Roman"/>
          <w:b/>
          <w:i w:val="false"/>
          <w:color w:val="000000"/>
          <w:sz w:val="22"/>
        </w:rPr>
        <w:t>资产与商圈位置差异</w:t>
      </w:r>
    </w:p>
    <w:p>
      <w:pPr>
        <w:numPr>
          <w:ilvl w:val="0"/>
          <w:numId w:val="29"/>
        </w:numPr>
        <w:spacing w:before="0" w:after="0"/>
        <w:jc w:val="left"/>
      </w:pPr>
      <w:r>
        <w:rPr>
          <w:rFonts w:ascii="Times New Roman" w:hAnsi="Times New Roman"/>
          <w:b w:val="false"/>
          <w:i w:val="false"/>
          <w:color w:val="000000"/>
          <w:sz w:val="22"/>
        </w:rPr>
        <w:t>武林广场南侧的杭州百货大楼处在传统核心商圈，但在“重奢三强”以及即将入市的恒隆、K11等项目挤压下，其在</w:t>
      </w:r>
      <w:r>
        <w:rPr>
          <w:rFonts w:ascii="Times New Roman" w:hAnsi="Times New Roman"/>
          <w:b/>
          <w:i w:val="false"/>
          <w:color w:val="000000"/>
          <w:sz w:val="22"/>
        </w:rPr>
        <w:t>高净值客群中的品牌影响力远弱于杭州大厦、湖滨银泰</w:t>
      </w:r>
      <w:r>
        <w:rPr>
          <w:rFonts w:ascii="Times New Roman" w:hAnsi="Times New Roman"/>
          <w:b w:val="false"/>
          <w:i w:val="false"/>
          <w:color w:val="000000"/>
          <w:sz w:val="22"/>
        </w:rPr>
        <w:t>。</w:t>
      </w:r>
    </w:p>
    <w:p>
      <w:pPr>
        <w:numPr>
          <w:ilvl w:val="0"/>
          <w:numId w:val="29"/>
        </w:numPr>
        <w:spacing w:before="0" w:after="0"/>
        <w:jc w:val="left"/>
      </w:pPr>
      <w:r>
        <w:rPr>
          <w:rFonts w:ascii="Times New Roman" w:hAnsi="Times New Roman"/>
          <w:b w:val="false"/>
          <w:i w:val="false"/>
          <w:color w:val="000000"/>
          <w:sz w:val="22"/>
        </w:rPr>
        <w:t>图1显示，在核心商圈租金整体缓慢回落（1100→1000元/㎡·月）而空置率维持低位的环境下，</w:t>
      </w:r>
      <w:r>
        <w:rPr>
          <w:rFonts w:ascii="Times New Roman" w:hAnsi="Times New Roman"/>
          <w:b/>
          <w:i w:val="false"/>
          <w:color w:val="000000"/>
          <w:sz w:val="22"/>
        </w:rPr>
        <w:t>租金价格并不是决定头部商场份额的主要变量</w:t>
      </w:r>
      <w:r>
        <w:rPr>
          <w:rFonts w:ascii="Times New Roman" w:hAnsi="Times New Roman"/>
          <w:b w:val="false"/>
          <w:i w:val="false"/>
          <w:color w:val="000000"/>
          <w:sz w:val="22"/>
        </w:rPr>
        <w:t>，品牌矩阵和运营能力才是核心。</w:t>
      </w:r>
    </w:p>
    <w:p>
      <w:pPr>
        <w:spacing w:before="269" w:after="269"/>
        <w:ind w:left="120"/>
        <w:jc w:val="left"/>
      </w:pPr>
      <w:r>
        <w:rPr>
          <w:rFonts w:ascii="Times New Roman" w:hAnsi="Times New Roman"/>
          <w:b w:val="false"/>
          <w:i w:val="false"/>
          <w:color w:val="000000"/>
          <w:sz w:val="22"/>
        </w:rPr>
        <w:t>综合来看，百大集团处于杭州百货体系的“次梯队”，在重奢消费、年轻客群和体验式消费重塑的主战场上，没有直接的高端载体与品牌资源，</w:t>
      </w:r>
      <w:r>
        <w:rPr>
          <w:rFonts w:ascii="Times New Roman" w:hAnsi="Times New Roman"/>
          <w:b/>
          <w:i w:val="false"/>
          <w:color w:val="000000"/>
          <w:sz w:val="22"/>
        </w:rPr>
        <w:t>其竞争力更多体现在“稳定租金+托管利润”而非业绩高弹性</w:t>
      </w:r>
      <w:r>
        <w:rPr>
          <w:rFonts w:ascii="Times New Roman" w:hAnsi="Times New Roman"/>
          <w:b w:val="false"/>
          <w:i w:val="false"/>
          <w:color w:val="000000"/>
          <w:sz w:val="22"/>
        </w:rPr>
        <w:t>。</w:t>
      </w:r>
    </w:p>
    <w:p>
      <w:pPr>
        <w:spacing w:before="180" w:after="180"/>
        <w:ind w:left="120"/>
        <w:jc w:val="left"/>
      </w:pPr>
      <w:r>
        <w:rPr>
          <w:rFonts w:ascii="Times New Roman" w:hAnsi="Times New Roman"/>
          <w:b/>
          <w:i w:val="false"/>
          <w:color w:val="000000"/>
          <w:sz w:val="33"/>
        </w:rPr>
        <w:t>2.3 供给侧：集中式商业“存量博弈”与大宗交易景气</w:t>
      </w:r>
    </w:p>
    <w:p>
      <w:pPr>
        <w:spacing w:before="199" w:after="199"/>
        <w:ind w:left="120"/>
        <w:jc w:val="left"/>
      </w:pPr>
      <w:r>
        <w:rPr>
          <w:rFonts w:ascii="Times New Roman" w:hAnsi="Times New Roman"/>
          <w:b/>
          <w:i w:val="false"/>
          <w:color w:val="000000"/>
          <w:sz w:val="26"/>
        </w:rPr>
        <w:t>2.3.1 全国集中式商业：供给收缩+调改加快</w:t>
      </w:r>
    </w:p>
    <w:p>
      <w:pPr>
        <w:spacing w:before="269" w:after="269"/>
        <w:ind w:left="120"/>
        <w:jc w:val="left"/>
      </w:pPr>
      <w:r>
        <w:rPr>
          <w:rFonts w:ascii="Times New Roman" w:hAnsi="Times New Roman"/>
          <w:b w:val="false"/>
          <w:i w:val="false"/>
          <w:color w:val="000000"/>
          <w:sz w:val="22"/>
        </w:rPr>
        <w:t>截至2025Q3，全国集中式商业存量约</w:t>
      </w:r>
      <w:r>
        <w:rPr>
          <w:rFonts w:ascii="Times New Roman" w:hAnsi="Times New Roman"/>
          <w:b/>
          <w:i w:val="false"/>
          <w:color w:val="000000"/>
          <w:sz w:val="22"/>
        </w:rPr>
        <w:t>6.61亿㎡，同比+4.4%</w:t>
      </w:r>
      <w:r>
        <w:rPr>
          <w:rFonts w:ascii="Times New Roman" w:hAnsi="Times New Roman"/>
          <w:b w:val="false"/>
          <w:i w:val="false"/>
          <w:color w:val="000000"/>
          <w:sz w:val="22"/>
        </w:rPr>
        <w:t>，在营项目约</w:t>
      </w:r>
      <w:r>
        <w:rPr>
          <w:rFonts w:ascii="Times New Roman" w:hAnsi="Times New Roman"/>
          <w:b/>
          <w:i w:val="false"/>
          <w:color w:val="000000"/>
          <w:sz w:val="22"/>
        </w:rPr>
        <w:t>9,266个</w:t>
      </w:r>
      <w:r>
        <w:rPr>
          <w:rFonts w:ascii="Times New Roman" w:hAnsi="Times New Roman"/>
          <w:b w:val="false"/>
          <w:i w:val="false"/>
          <w:color w:val="000000"/>
          <w:sz w:val="22"/>
        </w:rPr>
        <w:t>，其中开业5年以上项目占比</w:t>
      </w:r>
      <w:r>
        <w:rPr>
          <w:rFonts w:ascii="Times New Roman" w:hAnsi="Times New Roman"/>
          <w:b/>
          <w:i w:val="false"/>
          <w:color w:val="000000"/>
          <w:sz w:val="22"/>
        </w:rPr>
        <w:t>57%</w:t>
      </w:r>
      <w:r>
        <w:rPr>
          <w:rFonts w:ascii="Times New Roman" w:hAnsi="Times New Roman"/>
          <w:b w:val="false"/>
          <w:i w:val="false"/>
          <w:color w:val="000000"/>
          <w:sz w:val="22"/>
        </w:rPr>
        <w:t>。 2022-2024年新开业购物中心数量分别约380、330个，新开店增速连续三年下行，供给侧整体</w:t>
      </w:r>
      <w:r>
        <w:rPr>
          <w:rFonts w:ascii="Times New Roman" w:hAnsi="Times New Roman"/>
          <w:b/>
          <w:i w:val="false"/>
          <w:color w:val="000000"/>
          <w:sz w:val="22"/>
        </w:rPr>
        <w:t>从扩张转向收缩与质量提升</w:t>
      </w:r>
      <w:r>
        <w:rPr>
          <w:rFonts w:ascii="Times New Roman" w:hAnsi="Times New Roman"/>
          <w:b w:val="false"/>
          <w:i w:val="false"/>
          <w:color w:val="000000"/>
          <w:sz w:val="22"/>
        </w:rPr>
        <w:t>。</w:t>
      </w:r>
    </w:p>
    <w:p>
      <w:pPr>
        <w:spacing w:before="269" w:after="269"/>
        <w:ind w:left="120"/>
        <w:jc w:val="left"/>
      </w:pPr>
      <w:r>
        <w:rPr>
          <w:rFonts w:ascii="Times New Roman" w:hAnsi="Times New Roman"/>
          <w:b w:val="false"/>
          <w:i w:val="false"/>
          <w:color w:val="000000"/>
          <w:sz w:val="22"/>
        </w:rPr>
        <w:t>同时，</w:t>
      </w:r>
      <w:r>
        <w:rPr>
          <w:rFonts w:ascii="Times New Roman" w:hAnsi="Times New Roman"/>
          <w:b/>
          <w:i w:val="false"/>
          <w:color w:val="000000"/>
          <w:sz w:val="22"/>
        </w:rPr>
        <w:t>存量调改比例提升</w:t>
      </w:r>
      <w:r>
        <w:rPr>
          <w:rFonts w:ascii="Times New Roman" w:hAnsi="Times New Roman"/>
          <w:b w:val="false"/>
          <w:i w:val="false"/>
          <w:color w:val="000000"/>
          <w:sz w:val="22"/>
        </w:rPr>
        <w:t>：调改重开业项目占比从2022年的</w:t>
      </w:r>
      <w:r>
        <w:rPr>
          <w:rFonts w:ascii="Times New Roman" w:hAnsi="Times New Roman"/>
          <w:b/>
          <w:i w:val="false"/>
          <w:color w:val="000000"/>
          <w:sz w:val="22"/>
        </w:rPr>
        <w:t>16%</w:t>
      </w:r>
      <w:r>
        <w:rPr>
          <w:rFonts w:ascii="Times New Roman" w:hAnsi="Times New Roman"/>
          <w:b/>
          <w:i w:val="false"/>
          <w:color w:val="000000"/>
          <w:sz w:val="22"/>
        </w:rPr>
        <w:t>增至2025Q3的</w:t>
      </w:r>
      <w:r>
        <w:rPr>
          <w:rFonts w:ascii="Times New Roman" w:hAnsi="Times New Roman"/>
          <w:b/>
          <w:i w:val="false"/>
          <w:color w:val="000000"/>
          <w:sz w:val="22"/>
        </w:rPr>
        <w:t>19%</w:t>
      </w:r>
      <w:r>
        <w:rPr>
          <w:rFonts w:ascii="Times New Roman" w:hAnsi="Times New Roman"/>
          <w:b w:val="false"/>
          <w:i w:val="false"/>
          <w:color w:val="000000"/>
          <w:sz w:val="22"/>
        </w:rPr>
        <w:t>，反映出商业地产进入“重运营、重翻新”的存量时代。</w:t>
      </w:r>
    </w:p>
    <w:p>
      <w:pPr>
        <w:spacing w:before="269" w:after="269"/>
        <w:ind w:left="120"/>
        <w:jc w:val="left"/>
      </w:pPr>
      <w:r>
        <w:rPr>
          <w:rFonts w:ascii="Times New Roman" w:hAnsi="Times New Roman"/>
          <w:b w:val="false"/>
          <w:i w:val="false"/>
          <w:color w:val="000000"/>
          <w:sz w:val="22"/>
        </w:rPr>
        <w:t>从资金行为看，2024年中国内地商业地产大宗交易金额约</w:t>
      </w:r>
      <w:r>
        <w:rPr>
          <w:rFonts w:ascii="Times New Roman" w:hAnsi="Times New Roman"/>
          <w:b/>
          <w:i w:val="false"/>
          <w:color w:val="000000"/>
          <w:sz w:val="22"/>
        </w:rPr>
        <w:t>2207亿元，同比-6.3%</w:t>
      </w:r>
      <w:r>
        <w:rPr>
          <w:rFonts w:ascii="Times New Roman" w:hAnsi="Times New Roman"/>
          <w:b w:val="false"/>
          <w:i w:val="false"/>
          <w:color w:val="000000"/>
          <w:sz w:val="22"/>
        </w:rPr>
        <w:t>，但其中零售物业的大宗交易成交绝对规模</w:t>
      </w:r>
      <w:r>
        <w:rPr>
          <w:rFonts w:ascii="Times New Roman" w:hAnsi="Times New Roman"/>
          <w:b/>
          <w:i w:val="false"/>
          <w:color w:val="000000"/>
          <w:sz w:val="22"/>
        </w:rPr>
        <w:t>769亿元</w:t>
      </w:r>
      <w:r>
        <w:rPr>
          <w:rFonts w:ascii="Times New Roman" w:hAnsi="Times New Roman"/>
          <w:b w:val="false"/>
          <w:i w:val="false"/>
          <w:color w:val="000000"/>
          <w:sz w:val="22"/>
        </w:rPr>
        <w:t>，已超过2018-2024年均值694亿元，并首次使零售物业在大宗交易中占比</w:t>
      </w:r>
      <w:r>
        <w:rPr>
          <w:rFonts w:ascii="Times New Roman" w:hAnsi="Times New Roman"/>
          <w:b/>
          <w:i w:val="false"/>
          <w:color w:val="000000"/>
          <w:sz w:val="22"/>
        </w:rPr>
        <w:t>超过30%</w:t>
      </w:r>
      <w:r>
        <w:rPr>
          <w:rFonts w:ascii="Times New Roman" w:hAnsi="Times New Roman"/>
          <w:b w:val="false"/>
          <w:i w:val="false"/>
          <w:color w:val="000000"/>
          <w:sz w:val="22"/>
        </w:rPr>
        <w:t>，成为成交占比最高的资产类别。 险资与长期资金持续配置购物中心，反映出</w:t>
      </w:r>
      <w:r>
        <w:rPr>
          <w:rFonts w:ascii="Times New Roman" w:hAnsi="Times New Roman"/>
          <w:b/>
          <w:i w:val="false"/>
          <w:color w:val="000000"/>
          <w:sz w:val="22"/>
        </w:rPr>
        <w:t>对中长期现金流回报率的认可</w:t>
      </w:r>
      <w:r>
        <w:rPr>
          <w:rFonts w:ascii="Times New Roman" w:hAnsi="Times New Roman"/>
          <w:b w:val="false"/>
          <w:i w:val="false"/>
          <w:color w:val="000000"/>
          <w:sz w:val="22"/>
        </w:rPr>
        <w:t>。</w:t>
      </w:r>
    </w:p>
    <w:p>
      <w:pPr>
        <w:spacing w:before="269" w:after="269"/>
        <w:ind w:left="120"/>
        <w:jc w:val="left"/>
      </w:pPr>
      <w:r>
        <w:rPr>
          <w:rFonts w:ascii="Times New Roman" w:hAnsi="Times New Roman"/>
          <w:b w:val="false"/>
          <w:i w:val="false"/>
          <w:color w:val="000000"/>
          <w:sz w:val="22"/>
        </w:rPr>
        <w:t>在利率中枢下移与资本化率处于高位的共振下，头部优质商业资产（如北京SKP、七宝万科广场等）的隐含资本化率在</w:t>
      </w:r>
      <w:r>
        <w:rPr>
          <w:rFonts w:ascii="Times New Roman" w:hAnsi="Times New Roman"/>
          <w:b/>
          <w:i w:val="false"/>
          <w:color w:val="000000"/>
          <w:sz w:val="22"/>
        </w:rPr>
        <w:t>4.5%-6.3%</w:t>
      </w:r>
      <w:r>
        <w:rPr>
          <w:rFonts w:ascii="Times New Roman" w:hAnsi="Times New Roman"/>
          <w:b/>
          <w:i w:val="false"/>
          <w:color w:val="000000"/>
          <w:sz w:val="22"/>
        </w:rPr>
        <w:t>区间，具备一定的估值修复空间。 这对于拥有城市核心区持有型商业物业的公司（包括百大集团自持的酒店与部分物业）构成</w:t>
      </w:r>
      <w:r>
        <w:rPr>
          <w:rFonts w:ascii="Times New Roman" w:hAnsi="Times New Roman"/>
          <w:b/>
          <w:i w:val="false"/>
          <w:color w:val="000000"/>
          <w:sz w:val="22"/>
        </w:rPr>
        <w:t>估值体系修复的长期支撑</w:t>
      </w:r>
      <w:r>
        <w:rPr>
          <w:rFonts w:ascii="Times New Roman" w:hAnsi="Times New Roman"/>
          <w:b w:val="false"/>
          <w:i w:val="false"/>
          <w:color w:val="000000"/>
          <w:sz w:val="22"/>
        </w:rPr>
        <w:t>。</w:t>
      </w:r>
    </w:p>
    <w:p>
      <w:pPr>
        <w:spacing w:before="199" w:after="199"/>
        <w:ind w:left="120"/>
        <w:jc w:val="left"/>
      </w:pPr>
      <w:r>
        <w:rPr>
          <w:rFonts w:ascii="Times New Roman" w:hAnsi="Times New Roman"/>
          <w:b/>
          <w:i w:val="false"/>
          <w:color w:val="000000"/>
          <w:sz w:val="26"/>
        </w:rPr>
        <w:t>2.3.2 杭州：供给“冷静”，核心商圈迭代</w:t>
      </w:r>
    </w:p>
    <w:p>
      <w:pPr>
        <w:spacing w:before="269" w:after="269"/>
        <w:ind w:left="120"/>
        <w:jc w:val="left"/>
      </w:pPr>
      <w:r>
        <w:rPr>
          <w:rFonts w:ascii="Times New Roman" w:hAnsi="Times New Roman"/>
          <w:b w:val="false"/>
          <w:i w:val="false"/>
          <w:color w:val="000000"/>
          <w:sz w:val="22"/>
        </w:rPr>
        <w:t>杭州在商业供给上同样体现出“理性收缩+结构分化”的特征。戴德梁行数据显示，2025年二季度杭州全市零售物业空置率</w:t>
      </w:r>
      <w:r>
        <w:rPr>
          <w:rFonts w:ascii="Times New Roman" w:hAnsi="Times New Roman"/>
          <w:b/>
          <w:i w:val="false"/>
          <w:color w:val="000000"/>
          <w:sz w:val="22"/>
        </w:rPr>
        <w:t>9.7%</w:t>
      </w:r>
      <w:r>
        <w:rPr>
          <w:rFonts w:ascii="Times New Roman" w:hAnsi="Times New Roman"/>
          <w:b w:val="false"/>
          <w:i w:val="false"/>
          <w:color w:val="000000"/>
          <w:sz w:val="22"/>
        </w:rPr>
        <w:t>，相比部分二线城市（如上海、成都、重庆等空置率超10%）整体压力更可控。</w:t>
      </w:r>
    </w:p>
    <w:p>
      <w:pPr>
        <w:spacing w:before="269" w:after="269"/>
        <w:ind w:left="120"/>
        <w:jc w:val="left"/>
      </w:pPr>
      <w:r>
        <w:rPr>
          <w:rFonts w:ascii="Times New Roman" w:hAnsi="Times New Roman"/>
          <w:b w:val="false"/>
          <w:i w:val="false"/>
          <w:color w:val="000000"/>
          <w:sz w:val="22"/>
        </w:rPr>
        <w:t>另一方面，2025年上半年杭州商业新开数量较往年明显减少，“商业体供应冷清”主要原因包括：</w:t>
      </w:r>
    </w:p>
    <w:p>
      <w:pPr>
        <w:numPr>
          <w:ilvl w:val="0"/>
          <w:numId w:val="30"/>
        </w:numPr>
        <w:spacing w:before="0" w:after="0"/>
        <w:jc w:val="left"/>
      </w:pPr>
      <w:r>
        <w:rPr>
          <w:rFonts w:ascii="Times New Roman" w:hAnsi="Times New Roman"/>
          <w:b w:val="false"/>
          <w:i w:val="false"/>
          <w:color w:val="000000"/>
          <w:sz w:val="22"/>
        </w:rPr>
        <w:t>存量高企+消费复苏偏慢，开发商转向轻资产与存量优化，减少大规模新建。</w:t>
      </w:r>
    </w:p>
    <w:p>
      <w:pPr>
        <w:numPr>
          <w:ilvl w:val="0"/>
          <w:numId w:val="30"/>
        </w:numPr>
        <w:spacing w:before="0" w:after="0"/>
        <w:jc w:val="left"/>
      </w:pPr>
      <w:r>
        <w:rPr>
          <w:rFonts w:ascii="Times New Roman" w:hAnsi="Times New Roman"/>
          <w:b w:val="false"/>
          <w:i w:val="false"/>
          <w:color w:val="000000"/>
          <w:sz w:val="22"/>
        </w:rPr>
        <w:t>头部项目（如恒隆、K11等）建设周期长，部分出现延期开业，进一步压缩短期新供给。</w:t>
      </w:r>
    </w:p>
    <w:p>
      <w:pPr>
        <w:numPr>
          <w:ilvl w:val="0"/>
          <w:numId w:val="30"/>
        </w:numPr>
        <w:spacing w:before="0" w:after="0"/>
        <w:jc w:val="left"/>
      </w:pPr>
      <w:r>
        <w:rPr>
          <w:rFonts w:ascii="Times New Roman" w:hAnsi="Times New Roman"/>
          <w:b w:val="false"/>
          <w:i w:val="false"/>
          <w:color w:val="000000"/>
          <w:sz w:val="22"/>
        </w:rPr>
        <w:t>在人口和产业持续集聚的前提下，开发商更倾向于主城区“压箱底”优质地块和综合体，以提升项目质量而非数量。</w:t>
      </w:r>
    </w:p>
    <w:p>
      <w:pPr>
        <w:spacing w:before="269" w:after="269"/>
        <w:ind w:left="120"/>
        <w:jc w:val="left"/>
      </w:pPr>
      <w:r>
        <w:rPr>
          <w:rFonts w:ascii="Times New Roman" w:hAnsi="Times New Roman"/>
          <w:b w:val="false"/>
          <w:i w:val="false"/>
          <w:color w:val="000000"/>
          <w:sz w:val="22"/>
        </w:rPr>
        <w:t>对百大集团而言，这种供给侧特征意味着：</w:t>
      </w:r>
    </w:p>
    <w:p>
      <w:pPr>
        <w:numPr>
          <w:ilvl w:val="0"/>
          <w:numId w:val="31"/>
        </w:numPr>
        <w:spacing w:before="0" w:after="0"/>
        <w:jc w:val="left"/>
      </w:pPr>
      <w:r>
        <w:rPr>
          <w:rFonts w:ascii="Times New Roman" w:hAnsi="Times New Roman"/>
          <w:b w:val="false"/>
          <w:i w:val="false"/>
          <w:color w:val="000000"/>
          <w:sz w:val="22"/>
        </w:rPr>
        <w:t>位于武林核心地段的百货大楼并不面临“恶性新增供给”导致的空置率暴涨风险，</w:t>
      </w:r>
      <w:r>
        <w:rPr>
          <w:rFonts w:ascii="Times New Roman" w:hAnsi="Times New Roman"/>
          <w:b/>
          <w:i w:val="false"/>
          <w:color w:val="000000"/>
          <w:sz w:val="22"/>
        </w:rPr>
        <w:t>供给冲击被高估</w:t>
      </w:r>
      <w:r>
        <w:rPr>
          <w:rFonts w:ascii="Times New Roman" w:hAnsi="Times New Roman"/>
          <w:b w:val="false"/>
          <w:i w:val="false"/>
          <w:color w:val="000000"/>
          <w:sz w:val="22"/>
        </w:rPr>
        <w:t>。</w:t>
      </w:r>
    </w:p>
    <w:p>
      <w:pPr>
        <w:numPr>
          <w:ilvl w:val="0"/>
          <w:numId w:val="31"/>
        </w:numPr>
        <w:spacing w:before="0" w:after="0"/>
        <w:jc w:val="left"/>
      </w:pPr>
      <w:r>
        <w:rPr>
          <w:rFonts w:ascii="Times New Roman" w:hAnsi="Times New Roman"/>
          <w:b w:val="false"/>
          <w:i w:val="false"/>
          <w:color w:val="000000"/>
          <w:sz w:val="22"/>
        </w:rPr>
        <w:t>真正决定其估值与盈利表现的，是托管模式下银泰对商场的经营能力，以及百大能否在商管/物业运营、资产证券化等方面主动参与新一轮存量博弈。</w:t>
      </w:r>
    </w:p>
    <w:p>
      <w:pPr>
        <w:spacing w:before="180" w:after="180"/>
        <w:ind w:left="120"/>
        <w:jc w:val="left"/>
      </w:pPr>
      <w:r>
        <w:rPr>
          <w:rFonts w:ascii="Times New Roman" w:hAnsi="Times New Roman"/>
          <w:b/>
          <w:i w:val="false"/>
          <w:color w:val="000000"/>
          <w:sz w:val="33"/>
        </w:rPr>
        <w:t>2.4 需求侧：从“性价比”到“情绪价值”，线下场景的再定位</w:t>
      </w:r>
    </w:p>
    <w:p>
      <w:pPr>
        <w:spacing w:before="199" w:after="199"/>
        <w:ind w:left="120"/>
        <w:jc w:val="left"/>
      </w:pPr>
      <w:r>
        <w:rPr>
          <w:rFonts w:ascii="Times New Roman" w:hAnsi="Times New Roman"/>
          <w:b/>
          <w:i w:val="false"/>
          <w:color w:val="000000"/>
          <w:sz w:val="26"/>
        </w:rPr>
        <w:t>2.4.1 消费结构：必选更强，可选修复，黄金珠宝领跑</w:t>
      </w:r>
    </w:p>
    <w:p>
      <w:pPr>
        <w:spacing w:before="269" w:after="269"/>
        <w:ind w:left="120"/>
        <w:jc w:val="left"/>
      </w:pPr>
      <w:r>
        <w:rPr>
          <w:rFonts w:ascii="Times New Roman" w:hAnsi="Times New Roman"/>
          <w:b w:val="false"/>
          <w:i w:val="false"/>
          <w:color w:val="000000"/>
          <w:sz w:val="22"/>
        </w:rPr>
        <w:t>2024-2025年，消费呈现**“必选强于可选、服务强于商品、但结构分化显著”**的格局：</w:t>
      </w:r>
    </w:p>
    <w:p>
      <w:pPr>
        <w:numPr>
          <w:ilvl w:val="0"/>
          <w:numId w:val="32"/>
        </w:numPr>
        <w:spacing w:before="0" w:after="0"/>
        <w:jc w:val="left"/>
      </w:pPr>
      <w:r>
        <w:rPr>
          <w:rFonts w:ascii="Times New Roman" w:hAnsi="Times New Roman"/>
          <w:b w:val="false"/>
          <w:i w:val="false"/>
          <w:color w:val="000000"/>
          <w:sz w:val="22"/>
        </w:rPr>
        <w:t>2024年服务零售额同比**+6.2%</w:t>
      </w:r>
      <w:r>
        <w:rPr>
          <w:rFonts w:ascii="Times New Roman" w:hAnsi="Times New Roman"/>
          <w:b/>
          <w:i w:val="false"/>
          <w:color w:val="000000"/>
          <w:sz w:val="22"/>
        </w:rPr>
        <w:t>，高于社零总额；2025年上半年限额以上商品零售中，六大以旧换新品类零售额同比</w:t>
      </w:r>
      <w:r>
        <w:rPr>
          <w:rFonts w:ascii="Times New Roman" w:hAnsi="Times New Roman"/>
          <w:b w:val="false"/>
          <w:i w:val="false"/>
          <w:color w:val="000000"/>
          <w:sz w:val="22"/>
        </w:rPr>
        <w:t>+10.2%</w:t>
      </w:r>
      <w:r>
        <w:rPr>
          <w:rFonts w:ascii="Times New Roman" w:hAnsi="Times New Roman"/>
          <w:b/>
          <w:i w:val="false"/>
          <w:color w:val="000000"/>
          <w:sz w:val="22"/>
        </w:rPr>
        <w:t>，无补贴的必选类商品零售同比</w:t>
      </w:r>
      <w:r>
        <w:rPr>
          <w:rFonts w:ascii="Times New Roman" w:hAnsi="Times New Roman"/>
          <w:b w:val="false"/>
          <w:i w:val="false"/>
          <w:color w:val="000000"/>
          <w:sz w:val="22"/>
        </w:rPr>
        <w:t>+9.1%</w:t>
      </w:r>
      <w:r>
        <w:rPr>
          <w:rFonts w:ascii="Times New Roman" w:hAnsi="Times New Roman"/>
          <w:b/>
          <w:i w:val="false"/>
          <w:color w:val="000000"/>
          <w:sz w:val="22"/>
        </w:rPr>
        <w:t>，明显强于可选类</w:t>
      </w:r>
      <w:r>
        <w:rPr>
          <w:rFonts w:ascii="Times New Roman" w:hAnsi="Times New Roman"/>
          <w:b w:val="false"/>
          <w:i w:val="false"/>
          <w:color w:val="000000"/>
          <w:sz w:val="22"/>
        </w:rPr>
        <w:t>+3.6%**。</w:t>
      </w:r>
    </w:p>
    <w:p>
      <w:pPr>
        <w:numPr>
          <w:ilvl w:val="0"/>
          <w:numId w:val="32"/>
        </w:numPr>
        <w:spacing w:before="0" w:after="0"/>
        <w:jc w:val="left"/>
      </w:pPr>
      <w:r>
        <w:rPr>
          <w:rFonts w:ascii="Times New Roman" w:hAnsi="Times New Roman"/>
          <w:b w:val="false"/>
          <w:i w:val="false"/>
          <w:color w:val="000000"/>
          <w:sz w:val="22"/>
        </w:rPr>
        <w:t>2025Q2限额以上零售中，粮油食品类、日用品类零售额分别同比**+12.3%/+7.8%</w:t>
      </w:r>
      <w:r>
        <w:rPr>
          <w:rFonts w:ascii="Times New Roman" w:hAnsi="Times New Roman"/>
          <w:b/>
          <w:i w:val="false"/>
          <w:color w:val="000000"/>
          <w:sz w:val="22"/>
        </w:rPr>
        <w:t>；服装、化妆品、金银珠宝分别</w:t>
      </w:r>
      <w:r>
        <w:rPr>
          <w:rFonts w:ascii="Times New Roman" w:hAnsi="Times New Roman"/>
          <w:b w:val="false"/>
          <w:i w:val="false"/>
          <w:color w:val="000000"/>
          <w:sz w:val="22"/>
        </w:rPr>
        <w:t>+2.7%/+2.6%/+17.3%**，黄金珠宝在金价上行与“保值+悦己”双重驱动下表现突出。</w:t>
      </w:r>
    </w:p>
    <w:p>
      <w:pPr>
        <w:spacing w:before="269" w:after="269"/>
        <w:ind w:left="120"/>
        <w:jc w:val="left"/>
      </w:pPr>
      <w:r>
        <w:rPr>
          <w:rFonts w:ascii="Times New Roman" w:hAnsi="Times New Roman"/>
          <w:b w:val="false"/>
          <w:i w:val="false"/>
          <w:color w:val="000000"/>
          <w:sz w:val="22"/>
        </w:rPr>
        <w:t>这对百货商场的启示非常直接：</w:t>
      </w:r>
      <w:r>
        <w:rPr>
          <w:rFonts w:ascii="Times New Roman" w:hAnsi="Times New Roman"/>
          <w:b/>
          <w:i w:val="false"/>
          <w:color w:val="000000"/>
          <w:sz w:val="22"/>
        </w:rPr>
        <w:t>传统服装类刚性需求弱化，高客单价但兼具投资/情绪价值的黄金珠宝等品类成为提升坪效和毛利的关键</w:t>
      </w:r>
      <w:r>
        <w:rPr>
          <w:rFonts w:ascii="Times New Roman" w:hAnsi="Times New Roman"/>
          <w:b w:val="false"/>
          <w:i w:val="false"/>
          <w:color w:val="000000"/>
          <w:sz w:val="22"/>
        </w:rPr>
        <w:t>。北京SKP、杭州大厦、银泰等头部项目纷纷在黄金珠宝与高端饰品上加大布局。</w:t>
      </w:r>
    </w:p>
    <w:p>
      <w:pPr>
        <w:spacing w:before="199" w:after="199"/>
        <w:ind w:left="120"/>
        <w:jc w:val="left"/>
      </w:pPr>
      <w:r>
        <w:rPr>
          <w:rFonts w:ascii="Times New Roman" w:hAnsi="Times New Roman"/>
          <w:b/>
          <w:i w:val="false"/>
          <w:color w:val="000000"/>
          <w:sz w:val="26"/>
        </w:rPr>
        <w:t>2.4.2 “情绪消费”与非标商业：线下商场的新战场</w:t>
      </w:r>
    </w:p>
    <w:p>
      <w:pPr>
        <w:spacing w:before="269" w:after="269"/>
        <w:ind w:left="120"/>
        <w:jc w:val="left"/>
      </w:pPr>
      <w:r>
        <w:rPr>
          <w:rFonts w:ascii="Times New Roman" w:hAnsi="Times New Roman"/>
          <w:b w:val="false"/>
          <w:i w:val="false"/>
          <w:color w:val="000000"/>
          <w:sz w:val="22"/>
        </w:rPr>
        <w:t>多份策略报告指出，Z世代与年轻客群的消费决策正从功能性转向情绪价值，“悦己、社交、文化认同”成为关键驱动：</w:t>
      </w:r>
    </w:p>
    <w:p>
      <w:pPr>
        <w:numPr>
          <w:ilvl w:val="0"/>
          <w:numId w:val="33"/>
        </w:numPr>
        <w:spacing w:before="0" w:after="0"/>
        <w:jc w:val="left"/>
      </w:pPr>
      <w:r>
        <w:rPr>
          <w:rFonts w:ascii="Times New Roman" w:hAnsi="Times New Roman"/>
          <w:b w:val="false"/>
          <w:i w:val="false"/>
          <w:color w:val="000000"/>
          <w:sz w:val="22"/>
        </w:rPr>
        <w:t>《2025 Z世代情绪消费报告》显示，</w:t>
      </w:r>
      <w:r>
        <w:rPr>
          <w:rFonts w:ascii="Times New Roman" w:hAnsi="Times New Roman"/>
          <w:b/>
          <w:i w:val="false"/>
          <w:color w:val="000000"/>
          <w:sz w:val="22"/>
        </w:rPr>
        <w:t>56.3%</w:t>
      </w:r>
      <w:r>
        <w:rPr>
          <w:rFonts w:ascii="Times New Roman" w:hAnsi="Times New Roman"/>
          <w:b/>
          <w:i w:val="false"/>
          <w:color w:val="000000"/>
          <w:sz w:val="22"/>
        </w:rPr>
        <w:t>受访青年选择“快乐消费，为情绪价值/兴趣买单”，较2024年提升</w:t>
      </w:r>
      <w:r>
        <w:rPr>
          <w:rFonts w:ascii="Times New Roman" w:hAnsi="Times New Roman"/>
          <w:b/>
          <w:i w:val="false"/>
          <w:color w:val="000000"/>
          <w:sz w:val="22"/>
        </w:rPr>
        <w:t>16.2pct</w:t>
      </w:r>
      <w:r>
        <w:rPr>
          <w:rFonts w:ascii="Times New Roman" w:hAnsi="Times New Roman"/>
          <w:b w:val="false"/>
          <w:i w:val="false"/>
          <w:color w:val="000000"/>
          <w:sz w:val="22"/>
        </w:rPr>
        <w:t>。</w:t>
      </w:r>
    </w:p>
    <w:p>
      <w:pPr>
        <w:numPr>
          <w:ilvl w:val="0"/>
          <w:numId w:val="33"/>
        </w:numPr>
        <w:spacing w:before="0" w:after="0"/>
        <w:jc w:val="left"/>
      </w:pPr>
      <w:r>
        <w:rPr>
          <w:rFonts w:ascii="Times New Roman" w:hAnsi="Times New Roman"/>
          <w:b w:val="false"/>
          <w:i w:val="false"/>
          <w:color w:val="000000"/>
          <w:sz w:val="22"/>
        </w:rPr>
        <w:t>情绪经济市场规模在2024年已达</w:t>
      </w:r>
      <w:r>
        <w:rPr>
          <w:rFonts w:ascii="Times New Roman" w:hAnsi="Times New Roman"/>
          <w:b/>
          <w:i w:val="false"/>
          <w:color w:val="000000"/>
          <w:sz w:val="22"/>
        </w:rPr>
        <w:t>2万亿元</w:t>
      </w:r>
      <w:r>
        <w:rPr>
          <w:rFonts w:ascii="Times New Roman" w:hAnsi="Times New Roman"/>
          <w:b w:val="false"/>
          <w:i w:val="false"/>
          <w:color w:val="000000"/>
          <w:sz w:val="22"/>
        </w:rPr>
        <w:t>，预计2025年达</w:t>
      </w:r>
      <w:r>
        <w:rPr>
          <w:rFonts w:ascii="Times New Roman" w:hAnsi="Times New Roman"/>
          <w:b/>
          <w:i w:val="false"/>
          <w:color w:val="000000"/>
          <w:sz w:val="22"/>
        </w:rPr>
        <w:t>2.7万亿元</w:t>
      </w:r>
      <w:r>
        <w:rPr>
          <w:rFonts w:ascii="Times New Roman" w:hAnsi="Times New Roman"/>
          <w:b w:val="false"/>
          <w:i w:val="false"/>
          <w:color w:val="000000"/>
          <w:sz w:val="22"/>
        </w:rPr>
        <w:t>，到2030年有望突破</w:t>
      </w:r>
      <w:r>
        <w:rPr>
          <w:rFonts w:ascii="Times New Roman" w:hAnsi="Times New Roman"/>
          <w:b/>
          <w:i w:val="false"/>
          <w:color w:val="000000"/>
          <w:sz w:val="22"/>
        </w:rPr>
        <w:t>4.5万亿元</w:t>
      </w:r>
      <w:r>
        <w:rPr>
          <w:rFonts w:ascii="Times New Roman" w:hAnsi="Times New Roman"/>
          <w:b w:val="false"/>
          <w:i w:val="false"/>
          <w:color w:val="000000"/>
          <w:sz w:val="22"/>
        </w:rPr>
        <w:t>。</w:t>
      </w:r>
    </w:p>
    <w:p>
      <w:pPr>
        <w:numPr>
          <w:ilvl w:val="0"/>
          <w:numId w:val="33"/>
        </w:numPr>
        <w:spacing w:before="0" w:after="0"/>
        <w:jc w:val="left"/>
      </w:pPr>
      <w:r>
        <w:rPr>
          <w:rFonts w:ascii="Times New Roman" w:hAnsi="Times New Roman"/>
          <w:b w:val="false"/>
          <w:i w:val="false"/>
          <w:color w:val="000000"/>
          <w:sz w:val="22"/>
        </w:rPr>
        <w:t>谷子经济（IP衍生品+二次元场景）2025年市场规模预计</w:t>
      </w:r>
      <w:r>
        <w:rPr>
          <w:rFonts w:ascii="Times New Roman" w:hAnsi="Times New Roman"/>
          <w:b/>
          <w:i w:val="false"/>
          <w:color w:val="000000"/>
          <w:sz w:val="22"/>
        </w:rPr>
        <w:t>2180亿元</w:t>
      </w:r>
      <w:r>
        <w:rPr>
          <w:rFonts w:ascii="Times New Roman" w:hAnsi="Times New Roman"/>
          <w:b w:val="false"/>
          <w:i w:val="false"/>
          <w:color w:val="000000"/>
          <w:sz w:val="22"/>
        </w:rPr>
        <w:t>，2020-2025年CAGR超</w:t>
      </w:r>
      <w:r>
        <w:rPr>
          <w:rFonts w:ascii="Times New Roman" w:hAnsi="Times New Roman"/>
          <w:b/>
          <w:i w:val="false"/>
          <w:color w:val="000000"/>
          <w:sz w:val="22"/>
        </w:rPr>
        <w:t>25%</w:t>
      </w:r>
      <w:r>
        <w:rPr>
          <w:rFonts w:ascii="Times New Roman" w:hAnsi="Times New Roman"/>
          <w:b w:val="false"/>
          <w:i w:val="false"/>
          <w:color w:val="000000"/>
          <w:sz w:val="22"/>
        </w:rPr>
        <w:t>，线下沉浸式消费场景贡献约30%。</w:t>
      </w:r>
    </w:p>
    <w:p>
      <w:pPr>
        <w:spacing w:before="269" w:after="269"/>
        <w:ind w:left="120"/>
        <w:jc w:val="left"/>
      </w:pPr>
      <w:r>
        <w:rPr>
          <w:rFonts w:ascii="Times New Roman" w:hAnsi="Times New Roman"/>
          <w:b w:val="false"/>
          <w:i w:val="false"/>
          <w:color w:val="000000"/>
          <w:sz w:val="22"/>
        </w:rPr>
        <w:t>线下商场成为情绪消费的关键载体，典型案例包括：</w:t>
      </w:r>
    </w:p>
    <w:p>
      <w:pPr>
        <w:numPr>
          <w:ilvl w:val="0"/>
          <w:numId w:val="34"/>
        </w:numPr>
        <w:spacing w:before="0" w:after="0"/>
        <w:jc w:val="left"/>
      </w:pPr>
      <w:r>
        <w:rPr>
          <w:rFonts w:ascii="Times New Roman" w:hAnsi="Times New Roman"/>
          <w:b/>
          <w:i w:val="false"/>
          <w:color w:val="000000"/>
          <w:sz w:val="22"/>
        </w:rPr>
        <w:t>百联ZX创趣场/ZX造趣场</w:t>
      </w:r>
      <w:r>
        <w:rPr>
          <w:rFonts w:ascii="Times New Roman" w:hAnsi="Times New Roman"/>
          <w:b w:val="false"/>
          <w:i w:val="false"/>
          <w:color w:val="000000"/>
          <w:sz w:val="22"/>
        </w:rPr>
        <w:t>：2024年创趣场举办近</w:t>
      </w:r>
      <w:r>
        <w:rPr>
          <w:rFonts w:ascii="Times New Roman" w:hAnsi="Times New Roman"/>
          <w:b/>
          <w:i w:val="false"/>
          <w:color w:val="000000"/>
          <w:sz w:val="22"/>
        </w:rPr>
        <w:t>700场活动</w:t>
      </w:r>
      <w:r>
        <w:rPr>
          <w:rFonts w:ascii="Times New Roman" w:hAnsi="Times New Roman"/>
          <w:b w:val="false"/>
          <w:i w:val="false"/>
          <w:color w:val="000000"/>
          <w:sz w:val="22"/>
        </w:rPr>
        <w:t>，销售额**+70%</w:t>
      </w:r>
      <w:r>
        <w:rPr>
          <w:rFonts w:ascii="Times New Roman" w:hAnsi="Times New Roman"/>
          <w:b/>
          <w:i w:val="false"/>
          <w:color w:val="000000"/>
          <w:sz w:val="22"/>
        </w:rPr>
        <w:t>至</w:t>
      </w:r>
      <w:r>
        <w:rPr>
          <w:rFonts w:ascii="Times New Roman" w:hAnsi="Times New Roman"/>
          <w:b w:val="false"/>
          <w:i w:val="false"/>
          <w:color w:val="000000"/>
          <w:sz w:val="22"/>
        </w:rPr>
        <w:t>5.1亿元**，客流**+40%</w:t>
      </w:r>
      <w:r>
        <w:rPr>
          <w:rFonts w:ascii="Times New Roman" w:hAnsi="Times New Roman"/>
          <w:b/>
          <w:i w:val="false"/>
          <w:color w:val="000000"/>
          <w:sz w:val="22"/>
        </w:rPr>
        <w:t>至</w:t>
      </w:r>
      <w:r>
        <w:rPr>
          <w:rFonts w:ascii="Times New Roman" w:hAnsi="Times New Roman"/>
          <w:b w:val="false"/>
          <w:i w:val="false"/>
          <w:color w:val="000000"/>
          <w:sz w:val="22"/>
        </w:rPr>
        <w:t>1330万人次**，ZX造趣场开业首日销售额**+300%**、客流5.3万人次。</w:t>
      </w:r>
    </w:p>
    <w:p>
      <w:pPr>
        <w:numPr>
          <w:ilvl w:val="0"/>
          <w:numId w:val="34"/>
        </w:numPr>
        <w:spacing w:before="0" w:after="0"/>
        <w:jc w:val="left"/>
      </w:pPr>
      <w:r>
        <w:rPr>
          <w:rFonts w:ascii="Times New Roman" w:hAnsi="Times New Roman"/>
          <w:b w:val="false"/>
          <w:i w:val="false"/>
          <w:color w:val="000000"/>
          <w:sz w:val="22"/>
        </w:rPr>
        <w:t>武汉潮流盒子X118、西安小寨银泰城等二次元商业体改造，二次元业态销售额过亿，成为老百货“爆改”的新样本。</w:t>
      </w:r>
    </w:p>
    <w:p>
      <w:pPr>
        <w:spacing w:before="269" w:after="269"/>
        <w:ind w:left="120"/>
        <w:jc w:val="left"/>
      </w:pPr>
      <w:r>
        <w:rPr>
          <w:rFonts w:ascii="Times New Roman" w:hAnsi="Times New Roman"/>
          <w:b w:val="false"/>
          <w:i w:val="false"/>
          <w:color w:val="000000"/>
          <w:sz w:val="22"/>
        </w:rPr>
        <w:t>需要看到的是，谷子/二次元业态本身也出现了从“野蛮扩张”到“分化出清”：</w:t>
      </w:r>
    </w:p>
    <w:p>
      <w:pPr>
        <w:numPr>
          <w:ilvl w:val="0"/>
          <w:numId w:val="35"/>
        </w:numPr>
        <w:spacing w:before="0" w:after="0"/>
        <w:jc w:val="left"/>
      </w:pPr>
      <w:r>
        <w:rPr>
          <w:rFonts w:ascii="Times New Roman" w:hAnsi="Times New Roman"/>
          <w:b w:val="false"/>
          <w:i w:val="false"/>
          <w:color w:val="000000"/>
          <w:sz w:val="22"/>
        </w:rPr>
        <w:t>2025年初仅1-2个月全国即有</w:t>
      </w:r>
      <w:r>
        <w:rPr>
          <w:rFonts w:ascii="Times New Roman" w:hAnsi="Times New Roman"/>
          <w:b/>
          <w:i w:val="false"/>
          <w:color w:val="000000"/>
          <w:sz w:val="22"/>
        </w:rPr>
        <w:t>78家谷子店闭店</w:t>
      </w:r>
      <w:r>
        <w:rPr>
          <w:rFonts w:ascii="Times New Roman" w:hAnsi="Times New Roman"/>
          <w:b w:val="false"/>
          <w:i w:val="false"/>
          <w:color w:val="000000"/>
          <w:sz w:val="22"/>
        </w:rPr>
        <w:t>，其中个人小店占比约</w:t>
      </w:r>
      <w:r>
        <w:rPr>
          <w:rFonts w:ascii="Times New Roman" w:hAnsi="Times New Roman"/>
          <w:b/>
          <w:i w:val="false"/>
          <w:color w:val="000000"/>
          <w:sz w:val="22"/>
        </w:rPr>
        <w:t>60%</w:t>
      </w:r>
      <w:r>
        <w:rPr>
          <w:rFonts w:ascii="Times New Roman" w:hAnsi="Times New Roman"/>
          <w:b w:val="false"/>
          <w:i w:val="false"/>
          <w:color w:val="000000"/>
          <w:sz w:val="22"/>
        </w:rPr>
        <w:t>，连锁品牌则仍在扩张，二次元商业体数量达</w:t>
      </w:r>
      <w:r>
        <w:rPr>
          <w:rFonts w:ascii="Times New Roman" w:hAnsi="Times New Roman"/>
          <w:b/>
          <w:i w:val="false"/>
          <w:color w:val="000000"/>
          <w:sz w:val="22"/>
        </w:rPr>
        <w:t>113+家</w:t>
      </w:r>
      <w:r>
        <w:rPr>
          <w:rFonts w:ascii="Times New Roman" w:hAnsi="Times New Roman"/>
          <w:b w:val="false"/>
          <w:i w:val="false"/>
          <w:color w:val="000000"/>
          <w:sz w:val="22"/>
        </w:rPr>
        <w:t>，行业从无序扩张进入“大浪淘沙”阶段。</w:t>
      </w:r>
    </w:p>
    <w:p>
      <w:pPr>
        <w:spacing w:before="269" w:after="269"/>
        <w:ind w:left="120"/>
        <w:jc w:val="left"/>
      </w:pPr>
      <w:r>
        <w:rPr>
          <w:rFonts w:ascii="Times New Roman" w:hAnsi="Times New Roman"/>
          <w:b w:val="false"/>
          <w:i w:val="false"/>
          <w:color w:val="000000"/>
          <w:sz w:val="22"/>
        </w:rPr>
        <w:t>总体判断：</w:t>
      </w:r>
      <w:r>
        <w:rPr>
          <w:rFonts w:ascii="Times New Roman" w:hAnsi="Times New Roman"/>
          <w:b/>
          <w:i w:val="false"/>
          <w:color w:val="000000"/>
          <w:sz w:val="22"/>
        </w:rPr>
        <w:t>情绪消费与非标商业不是“短期概念”，而是线下商场实现差异化与年轻化的中长期主线</w:t>
      </w:r>
      <w:r>
        <w:rPr>
          <w:rFonts w:ascii="Times New Roman" w:hAnsi="Times New Roman"/>
          <w:b w:val="false"/>
          <w:i w:val="false"/>
          <w:color w:val="000000"/>
          <w:sz w:val="22"/>
        </w:rPr>
        <w:t>，但其成功依赖于</w:t>
      </w:r>
      <w:r>
        <w:rPr>
          <w:rFonts w:ascii="Times New Roman" w:hAnsi="Times New Roman"/>
          <w:b/>
          <w:i w:val="false"/>
          <w:color w:val="000000"/>
          <w:sz w:val="22"/>
        </w:rPr>
        <w:t>运营能力、IP资源整合与精细化管理</w:t>
      </w:r>
      <w:r>
        <w:rPr>
          <w:rFonts w:ascii="Times New Roman" w:hAnsi="Times New Roman"/>
          <w:b w:val="false"/>
          <w:i w:val="false"/>
          <w:color w:val="000000"/>
          <w:sz w:val="22"/>
        </w:rPr>
        <w:t>。对缺乏这些能力和资源的传统百货而言，简单模仿二次元/谷子并不构成有效护城河。</w:t>
      </w:r>
    </w:p>
    <w:p>
      <w:pPr>
        <w:spacing w:before="180" w:after="180"/>
        <w:ind w:left="120"/>
        <w:jc w:val="left"/>
      </w:pPr>
      <w:r>
        <w:rPr>
          <w:rFonts w:ascii="Times New Roman" w:hAnsi="Times New Roman"/>
          <w:b/>
          <w:i w:val="false"/>
          <w:color w:val="000000"/>
          <w:sz w:val="33"/>
        </w:rPr>
        <w:t>2.5 对百大集团的含义：行业β与自身α的再审视</w:t>
      </w:r>
    </w:p>
    <w:p>
      <w:pPr>
        <w:spacing w:before="199" w:after="199"/>
        <w:ind w:left="120"/>
        <w:jc w:val="left"/>
      </w:pPr>
      <w:r>
        <w:rPr>
          <w:rFonts w:ascii="Times New Roman" w:hAnsi="Times New Roman"/>
          <w:b/>
          <w:i w:val="false"/>
          <w:color w:val="000000"/>
          <w:sz w:val="26"/>
        </w:rPr>
        <w:t>2.5.1 收入与市占：行业下行中的“负β”</w:t>
      </w:r>
    </w:p>
    <w:p>
      <w:pPr>
        <w:spacing w:before="269" w:after="269"/>
        <w:ind w:left="120"/>
        <w:jc w:val="left"/>
      </w:pPr>
      <w:r>
        <w:rPr>
          <w:rFonts w:ascii="Times New Roman" w:hAnsi="Times New Roman"/>
          <w:b w:val="false"/>
          <w:i w:val="false"/>
          <w:color w:val="000000"/>
          <w:sz w:val="22"/>
        </w:rPr>
        <w:t>百大集团2024年营业收入增速从Q1的**+4.29%</w:t>
      </w:r>
      <w:r>
        <w:rPr>
          <w:rFonts w:ascii="Times New Roman" w:hAnsi="Times New Roman"/>
          <w:b/>
          <w:i w:val="false"/>
          <w:color w:val="000000"/>
          <w:sz w:val="22"/>
        </w:rPr>
        <w:t>转为全年</w:t>
      </w:r>
      <w:r>
        <w:rPr>
          <w:rFonts w:ascii="Times New Roman" w:hAnsi="Times New Roman"/>
          <w:b w:val="false"/>
          <w:i w:val="false"/>
          <w:color w:val="000000"/>
          <w:sz w:val="22"/>
        </w:rPr>
        <w:t>-10.38%</w:t>
      </w:r>
      <w:r>
        <w:rPr>
          <w:rFonts w:ascii="Times New Roman" w:hAnsi="Times New Roman"/>
          <w:b/>
          <w:i w:val="false"/>
          <w:color w:val="000000"/>
          <w:sz w:val="22"/>
        </w:rPr>
        <w:t>，2025年前三季度仍处在</w:t>
      </w:r>
      <w:r>
        <w:rPr>
          <w:rFonts w:ascii="Times New Roman" w:hAnsi="Times New Roman"/>
          <w:b w:val="false"/>
          <w:i w:val="false"/>
          <w:color w:val="000000"/>
          <w:sz w:val="22"/>
        </w:rPr>
        <w:t>-14.16%/-12.23%/-6.86%**的负增长区间，显著弱于杭州整体社零与头部百货表现。</w:t>
      </w:r>
    </w:p>
    <w:p>
      <w:pPr>
        <w:spacing w:before="269" w:after="269"/>
        <w:ind w:left="120"/>
        <w:jc w:val="left"/>
      </w:pPr>
      <w:r>
        <w:rPr>
          <w:rFonts w:ascii="Times New Roman" w:hAnsi="Times New Roman"/>
          <w:b w:val="false"/>
          <w:i w:val="false"/>
          <w:color w:val="000000"/>
          <w:sz w:val="22"/>
        </w:rPr>
        <w:t>在图1中的市占率指数模拟中，百大市占指数从20降至14，而杭州大厦与银泰系分别从100降至91、80升至87，说明在行业整体偏弱的周期内，</w:t>
      </w:r>
      <w:r>
        <w:rPr>
          <w:rFonts w:ascii="Times New Roman" w:hAnsi="Times New Roman"/>
          <w:b/>
          <w:i w:val="false"/>
          <w:color w:val="000000"/>
          <w:sz w:val="22"/>
        </w:rPr>
        <w:t>百大不仅没有获得行业修复带来的β收益，反而在结构性竞争中持续失分</w:t>
      </w:r>
      <w:r>
        <w:rPr>
          <w:rFonts w:ascii="Times New Roman" w:hAnsi="Times New Roman"/>
          <w:b w:val="false"/>
          <w:i w:val="false"/>
          <w:color w:val="000000"/>
          <w:sz w:val="22"/>
        </w:rPr>
        <w:t>。</w:t>
      </w:r>
    </w:p>
    <w:p>
      <w:pPr>
        <w:spacing w:before="269" w:after="269"/>
        <w:ind w:left="120"/>
        <w:jc w:val="left"/>
      </w:pPr>
      <w:r>
        <w:rPr>
          <w:rFonts w:ascii="Times New Roman" w:hAnsi="Times New Roman"/>
          <w:b w:val="false"/>
          <w:i w:val="false"/>
          <w:color w:val="000000"/>
          <w:sz w:val="22"/>
        </w:rPr>
        <w:t>主要原因包括：</w:t>
      </w:r>
    </w:p>
    <w:p>
      <w:pPr>
        <w:numPr>
          <w:ilvl w:val="0"/>
          <w:numId w:val="36"/>
        </w:numPr>
        <w:spacing w:before="0" w:after="0"/>
        <w:jc w:val="left"/>
      </w:pPr>
      <w:r>
        <w:rPr>
          <w:rFonts w:ascii="Times New Roman" w:hAnsi="Times New Roman"/>
          <w:b w:val="false"/>
          <w:i w:val="false"/>
          <w:color w:val="000000"/>
          <w:sz w:val="22"/>
        </w:rPr>
        <w:t>单店托管模式导致公司无法主动推进“去百货化”“情绪消费”“资产证券化”等转型，业绩更像“稳息票”，对行业新结构的适应弹性不足。</w:t>
      </w:r>
    </w:p>
    <w:p>
      <w:pPr>
        <w:numPr>
          <w:ilvl w:val="0"/>
          <w:numId w:val="36"/>
        </w:numPr>
        <w:spacing w:before="0" w:after="0"/>
        <w:jc w:val="left"/>
      </w:pPr>
      <w:r>
        <w:rPr>
          <w:rFonts w:ascii="Times New Roman" w:hAnsi="Times New Roman"/>
          <w:b w:val="false"/>
          <w:i w:val="false"/>
          <w:color w:val="000000"/>
          <w:sz w:val="22"/>
        </w:rPr>
        <w:t>在重奢资源向杭州大厦、湖滨银泰、万象城等集中，二次元/情绪场景向ZX创趣场、潮流盒子等集中时，百大缺少可被塑造为“目的地”的独特标签。</w:t>
      </w:r>
    </w:p>
    <w:p>
      <w:pPr>
        <w:spacing w:before="199" w:after="199"/>
        <w:ind w:left="120"/>
        <w:jc w:val="left"/>
      </w:pPr>
      <w:r>
        <w:rPr>
          <w:rFonts w:ascii="Times New Roman" w:hAnsi="Times New Roman"/>
          <w:b/>
          <w:i w:val="false"/>
          <w:color w:val="000000"/>
          <w:sz w:val="26"/>
        </w:rPr>
        <w:t>2.5.2 供给与资产：估值修复带来的防御属性</w:t>
      </w:r>
    </w:p>
    <w:p>
      <w:pPr>
        <w:spacing w:before="269" w:after="269"/>
        <w:ind w:left="120"/>
        <w:jc w:val="left"/>
      </w:pPr>
      <w:r>
        <w:rPr>
          <w:rFonts w:ascii="Times New Roman" w:hAnsi="Times New Roman"/>
          <w:b w:val="false"/>
          <w:i w:val="false"/>
          <w:color w:val="000000"/>
          <w:sz w:val="22"/>
        </w:rPr>
        <w:t>另一方面，杭州核心商圈商业资产的租金与空置率数据表明，百大自持的百货大楼、酒店及其他物业，仍处在</w:t>
      </w:r>
      <w:r>
        <w:rPr>
          <w:rFonts w:ascii="Times New Roman" w:hAnsi="Times New Roman"/>
          <w:b/>
          <w:i w:val="false"/>
          <w:color w:val="000000"/>
          <w:sz w:val="22"/>
        </w:rPr>
        <w:t>城市非复制性核心区位</w:t>
      </w:r>
      <w:r>
        <w:rPr>
          <w:rFonts w:ascii="Times New Roman" w:hAnsi="Times New Roman"/>
          <w:b w:val="false"/>
          <w:i w:val="false"/>
          <w:color w:val="000000"/>
          <w:sz w:val="22"/>
        </w:rPr>
        <w:t>之中：</w:t>
      </w:r>
    </w:p>
    <w:p>
      <w:pPr>
        <w:numPr>
          <w:ilvl w:val="0"/>
          <w:numId w:val="37"/>
        </w:numPr>
        <w:spacing w:before="0" w:after="0"/>
        <w:jc w:val="left"/>
      </w:pPr>
      <w:r>
        <w:rPr>
          <w:rFonts w:ascii="Times New Roman" w:hAnsi="Times New Roman"/>
          <w:b w:val="false"/>
          <w:i w:val="false"/>
          <w:color w:val="000000"/>
          <w:sz w:val="22"/>
        </w:rPr>
        <w:t>武林商圈空置率</w:t>
      </w:r>
      <w:r>
        <w:rPr>
          <w:rFonts w:ascii="Times New Roman" w:hAnsi="Times New Roman"/>
          <w:b/>
          <w:i w:val="false"/>
          <w:color w:val="000000"/>
          <w:sz w:val="22"/>
        </w:rPr>
        <w:t>4.7%</w:t>
      </w:r>
      <w:r>
        <w:rPr>
          <w:rFonts w:ascii="Times New Roman" w:hAnsi="Times New Roman"/>
          <w:b w:val="false"/>
          <w:i w:val="false"/>
          <w:color w:val="000000"/>
          <w:sz w:val="22"/>
        </w:rPr>
        <w:t>、湖滨</w:t>
      </w:r>
      <w:r>
        <w:rPr>
          <w:rFonts w:ascii="Times New Roman" w:hAnsi="Times New Roman"/>
          <w:b/>
          <w:i w:val="false"/>
          <w:color w:val="000000"/>
          <w:sz w:val="22"/>
        </w:rPr>
        <w:t>5.2%</w:t>
      </w:r>
      <w:r>
        <w:rPr>
          <w:rFonts w:ascii="Times New Roman" w:hAnsi="Times New Roman"/>
          <w:b w:val="false"/>
          <w:i w:val="false"/>
          <w:color w:val="000000"/>
          <w:sz w:val="22"/>
        </w:rPr>
        <w:t>，全市平均</w:t>
      </w:r>
      <w:r>
        <w:rPr>
          <w:rFonts w:ascii="Times New Roman" w:hAnsi="Times New Roman"/>
          <w:b/>
          <w:i w:val="false"/>
          <w:color w:val="000000"/>
          <w:sz w:val="22"/>
        </w:rPr>
        <w:t>9.7%</w:t>
      </w:r>
      <w:r>
        <w:rPr>
          <w:rFonts w:ascii="Times New Roman" w:hAnsi="Times New Roman"/>
          <w:b w:val="false"/>
          <w:i w:val="false"/>
          <w:color w:val="000000"/>
          <w:sz w:val="22"/>
        </w:rPr>
        <w:t>。</w:t>
      </w:r>
    </w:p>
    <w:p>
      <w:pPr>
        <w:numPr>
          <w:ilvl w:val="0"/>
          <w:numId w:val="37"/>
        </w:numPr>
        <w:spacing w:before="0" w:after="0"/>
        <w:jc w:val="left"/>
      </w:pPr>
      <w:r>
        <w:rPr>
          <w:rFonts w:ascii="Times New Roman" w:hAnsi="Times New Roman"/>
          <w:b w:val="false"/>
          <w:i w:val="false"/>
          <w:color w:val="000000"/>
          <w:sz w:val="22"/>
        </w:rPr>
        <w:t>全国优质购物中心首层平均租金2024年同比仅**-3.3%**，空置率10.2%，比2023年空置率有所下降。</w:t>
      </w:r>
    </w:p>
    <w:p>
      <w:pPr>
        <w:numPr>
          <w:ilvl w:val="0"/>
          <w:numId w:val="37"/>
        </w:numPr>
        <w:spacing w:before="0" w:after="0"/>
        <w:jc w:val="left"/>
      </w:pPr>
      <w:r>
        <w:rPr>
          <w:rFonts w:ascii="Times New Roman" w:hAnsi="Times New Roman"/>
          <w:b w:val="false"/>
          <w:i w:val="false"/>
          <w:color w:val="000000"/>
          <w:sz w:val="22"/>
        </w:rPr>
        <w:t>零售物业大宗交易资本化率与10年期国债利差处于高位，随着利率继续走低、政策托底，2025年有望反转，对零售物业估值构成支撑。</w:t>
      </w:r>
    </w:p>
    <w:p>
      <w:pPr>
        <w:spacing w:before="269" w:after="269"/>
        <w:ind w:left="120"/>
        <w:jc w:val="left"/>
      </w:pPr>
      <w:r>
        <w:rPr>
          <w:rFonts w:ascii="Times New Roman" w:hAnsi="Times New Roman"/>
          <w:b w:val="false"/>
          <w:i w:val="false"/>
          <w:color w:val="000000"/>
          <w:sz w:val="22"/>
        </w:rPr>
        <w:t>因此，对百大而言，</w:t>
      </w:r>
      <w:r>
        <w:rPr>
          <w:rFonts w:ascii="Times New Roman" w:hAnsi="Times New Roman"/>
          <w:b/>
          <w:i w:val="false"/>
          <w:color w:val="000000"/>
          <w:sz w:val="22"/>
        </w:rPr>
        <w:t>“资产价值+稳定托管现金流”是中长期更具确定性的投资逻辑</w:t>
      </w:r>
      <w:r>
        <w:rPr>
          <w:rFonts w:ascii="Times New Roman" w:hAnsi="Times New Roman"/>
          <w:b w:val="false"/>
          <w:i w:val="false"/>
          <w:color w:val="000000"/>
          <w:sz w:val="22"/>
        </w:rPr>
        <w:t>：</w:t>
      </w:r>
    </w:p>
    <w:p>
      <w:pPr>
        <w:numPr>
          <w:ilvl w:val="0"/>
          <w:numId w:val="38"/>
        </w:numPr>
        <w:spacing w:before="0" w:after="0"/>
        <w:jc w:val="left"/>
      </w:pPr>
      <w:r>
        <w:rPr>
          <w:rFonts w:ascii="Times New Roman" w:hAnsi="Times New Roman"/>
          <w:b w:val="false"/>
          <w:i w:val="false"/>
          <w:color w:val="000000"/>
          <w:sz w:val="22"/>
        </w:rPr>
        <w:t>在行业集中度提升与REITs试点扩围的背景下，核心城市优质百货/购物中心被纳入公募REITs或被机构长期资本收购的概率上升，百大中长期存在通过资产证券化或大宗交易进行价值释放的潜在选项。</w:t>
      </w:r>
    </w:p>
    <w:p>
      <w:pPr>
        <w:numPr>
          <w:ilvl w:val="0"/>
          <w:numId w:val="38"/>
        </w:numPr>
        <w:spacing w:before="0" w:after="0"/>
        <w:jc w:val="left"/>
      </w:pPr>
      <w:r>
        <w:rPr>
          <w:rFonts w:ascii="Times New Roman" w:hAnsi="Times New Roman"/>
          <w:b w:val="false"/>
          <w:i w:val="false"/>
          <w:color w:val="000000"/>
          <w:sz w:val="22"/>
        </w:rPr>
        <w:t>但短期内，百大的利润弹性与估值驱动难以来自百货主业运营α，更多仍取决于宏观利率、商业地产估值修复以及公司层面是否主动推动资产盘活与治理优化。</w:t>
      </w:r>
    </w:p>
    <w:p>
      <w:pPr>
        <w:spacing w:before="269" w:after="269"/>
        <w:ind w:left="120"/>
        <w:jc w:val="left"/>
      </w:pPr>
      <w:r>
        <w:rPr>
          <w:rFonts w:ascii="Times New Roman" w:hAnsi="Times New Roman"/>
          <w:b w:val="false"/>
          <w:i w:val="false"/>
          <w:color w:val="000000"/>
          <w:sz w:val="22"/>
        </w:rPr>
        <w:t>综上所述，2025-2026年“行业竞争格局重塑与供需边际变化”对百大集团的核心含义可以归纳为：</w:t>
      </w:r>
    </w:p>
    <w:p>
      <w:pPr>
        <w:numPr>
          <w:ilvl w:val="0"/>
          <w:numId w:val="39"/>
        </w:numPr>
        <w:spacing w:before="0" w:after="0"/>
        <w:jc w:val="left"/>
      </w:pPr>
      <w:r>
        <w:rPr>
          <w:rFonts w:ascii="Times New Roman" w:hAnsi="Times New Roman"/>
          <w:b/>
          <w:i w:val="false"/>
          <w:color w:val="000000"/>
          <w:sz w:val="22"/>
        </w:rPr>
        <w:t>行业层面</w:t>
      </w:r>
      <w:r>
        <w:rPr>
          <w:rFonts w:ascii="Times New Roman" w:hAnsi="Times New Roman"/>
          <w:b w:val="false"/>
          <w:i w:val="false"/>
          <w:color w:val="000000"/>
          <w:sz w:val="22"/>
        </w:rPr>
        <w:t>：</w:t>
      </w:r>
    </w:p>
    <w:p>
      <w:pPr>
        <w:numPr>
          <w:ilvl w:val="0"/>
          <w:numId w:val="40"/>
        </w:numPr>
        <w:spacing w:before="0" w:after="0"/>
        <w:jc w:val="left"/>
      </w:pPr>
      <w:r>
        <w:rPr>
          <w:rFonts w:ascii="Times New Roman" w:hAnsi="Times New Roman"/>
          <w:b w:val="false"/>
          <w:i w:val="false"/>
          <w:color w:val="000000"/>
          <w:sz w:val="22"/>
        </w:rPr>
        <w:t>百货业态将从“普遍增长”转向“强者恒强”：全国龙头与区域头部通过调改、数字化与资产证券化仍可实现结构性增长，而尾部与中小百货将面临更高的关店与并购重组风险。</w:t>
      </w:r>
    </w:p>
    <w:p>
      <w:pPr>
        <w:numPr>
          <w:ilvl w:val="0"/>
          <w:numId w:val="40"/>
        </w:numPr>
        <w:spacing w:before="0" w:after="0"/>
        <w:jc w:val="left"/>
      </w:pPr>
      <w:r>
        <w:rPr>
          <w:rFonts w:ascii="Times New Roman" w:hAnsi="Times New Roman"/>
          <w:b w:val="false"/>
          <w:i w:val="false"/>
          <w:color w:val="000000"/>
          <w:sz w:val="22"/>
        </w:rPr>
        <w:t>供给侧新增商业收缩、存量调改加快，大宗交易和REITs等工具提升优质商业资产的流动性与估值中枢，商业地产从“开发溢价”转向“运营现金流溢价”。</w:t>
      </w:r>
    </w:p>
    <w:p>
      <w:pPr>
        <w:numPr>
          <w:ilvl w:val="0"/>
          <w:numId w:val="40"/>
        </w:numPr>
        <w:spacing w:before="0" w:after="0"/>
        <w:jc w:val="left"/>
      </w:pPr>
      <w:r>
        <w:rPr>
          <w:rFonts w:ascii="Times New Roman" w:hAnsi="Times New Roman"/>
          <w:b w:val="false"/>
          <w:i w:val="false"/>
          <w:color w:val="000000"/>
          <w:sz w:val="22"/>
        </w:rPr>
        <w:t>情绪消费、黄金珠宝和非标商业（谷子、二次元、宠物、沉浸式体验）将成为线下商场争夺年轻客群和高毛利的关键战场，但这要求高运营能力与品牌/IP整合能力。</w:t>
      </w:r>
    </w:p>
    <w:p>
      <w:pPr>
        <w:numPr>
          <w:ilvl w:val="0"/>
          <w:numId w:val="41"/>
        </w:numPr>
        <w:spacing w:before="0" w:after="0"/>
        <w:jc w:val="left"/>
      </w:pPr>
      <w:r>
        <w:rPr>
          <w:rFonts w:ascii="Times New Roman" w:hAnsi="Times New Roman"/>
          <w:b/>
          <w:i w:val="false"/>
          <w:color w:val="000000"/>
          <w:sz w:val="22"/>
        </w:rPr>
        <w:t>百大集团层面</w:t>
      </w:r>
      <w:r>
        <w:rPr>
          <w:rFonts w:ascii="Times New Roman" w:hAnsi="Times New Roman"/>
          <w:b w:val="false"/>
          <w:i w:val="false"/>
          <w:color w:val="000000"/>
          <w:sz w:val="22"/>
        </w:rPr>
        <w:t>：</w:t>
      </w:r>
    </w:p>
    <w:p>
      <w:pPr>
        <w:numPr>
          <w:ilvl w:val="0"/>
          <w:numId w:val="42"/>
        </w:numPr>
        <w:spacing w:before="0" w:after="0"/>
        <w:jc w:val="left"/>
      </w:pPr>
      <w:r>
        <w:rPr>
          <w:rFonts w:ascii="Times New Roman" w:hAnsi="Times New Roman"/>
          <w:b w:val="false"/>
          <w:i w:val="false"/>
          <w:color w:val="000000"/>
          <w:sz w:val="22"/>
        </w:rPr>
        <w:t>短期（2025-2026年）难以凭借主业运营在杭州高端零售格局中“逆袭”，营业收入同比持续为负就是现实体现；托管模式下公司权益更接近“固定收益”。</w:t>
      </w:r>
    </w:p>
    <w:p>
      <w:pPr>
        <w:numPr>
          <w:ilvl w:val="0"/>
          <w:numId w:val="42"/>
        </w:numPr>
        <w:spacing w:before="0" w:after="0"/>
        <w:jc w:val="left"/>
      </w:pPr>
      <w:r>
        <w:rPr>
          <w:rFonts w:ascii="Times New Roman" w:hAnsi="Times New Roman"/>
          <w:b w:val="false"/>
          <w:i w:val="false"/>
          <w:color w:val="000000"/>
          <w:sz w:val="22"/>
        </w:rPr>
        <w:t>具有防御性的，是其位于武林核心区的百货大楼及其他自持物业，在商业地产估值修复、利率下行、大宗交易与REITs活跃的环境下，资产价值有望重估。</w:t>
      </w:r>
    </w:p>
    <w:p>
      <w:pPr>
        <w:numPr>
          <w:ilvl w:val="0"/>
          <w:numId w:val="42"/>
        </w:numPr>
        <w:spacing w:before="0" w:after="0"/>
        <w:jc w:val="left"/>
      </w:pPr>
      <w:r>
        <w:rPr>
          <w:rFonts w:ascii="Times New Roman" w:hAnsi="Times New Roman"/>
          <w:b w:val="false"/>
          <w:i w:val="false"/>
          <w:color w:val="000000"/>
          <w:sz w:val="22"/>
        </w:rPr>
        <w:t>若未来公司在托管期满、资产盘活、商管输出或与头部运营商合作上有实质动作，则有望从“被动防御”走向“主动重构”，这将成为投资逻辑从</w:t>
      </w:r>
      <w:r>
        <w:rPr>
          <w:rFonts w:ascii="Times New Roman" w:hAnsi="Times New Roman"/>
          <w:b/>
          <w:i w:val="false"/>
          <w:color w:val="000000"/>
          <w:sz w:val="22"/>
        </w:rPr>
        <w:t>资产防御 → 资产+运营双重重估</w:t>
      </w:r>
      <w:r>
        <w:rPr>
          <w:rFonts w:ascii="Times New Roman" w:hAnsi="Times New Roman"/>
          <w:b w:val="false"/>
          <w:i w:val="false"/>
          <w:color w:val="000000"/>
          <w:sz w:val="22"/>
        </w:rPr>
        <w:t>的关键拐点。</w:t>
      </w:r>
    </w:p>
    <w:p>
      <w:pPr>
        <w:spacing w:before="269" w:after="269"/>
        <w:ind w:left="120"/>
        <w:jc w:val="left"/>
      </w:pPr>
      <w:r>
        <w:rPr>
          <w:rFonts w:ascii="Times New Roman" w:hAnsi="Times New Roman"/>
          <w:b w:val="false"/>
          <w:i w:val="false"/>
          <w:color w:val="000000"/>
          <w:sz w:val="22"/>
        </w:rPr>
        <w:t>对专业投资者而言，</w:t>
      </w:r>
      <w:r>
        <w:rPr>
          <w:rFonts w:ascii="Times New Roman" w:hAnsi="Times New Roman"/>
          <w:b/>
          <w:i w:val="false"/>
          <w:color w:val="000000"/>
          <w:sz w:val="22"/>
        </w:rPr>
        <w:t>2025-2026年在百大集团上的配置逻辑应以“地产+现金流属性”为锚，动态跟踪杭州商业供需指标、大宗交易资本化率、公司在资产运营/证券化层面的动作与信号</w:t>
      </w:r>
      <w:r>
        <w:rPr>
          <w:rFonts w:ascii="Times New Roman" w:hAnsi="Times New Roman"/>
          <w:b w:val="false"/>
          <w:i w:val="false"/>
          <w:color w:val="000000"/>
          <w:sz w:val="22"/>
        </w:rPr>
        <w:t>，而不宜简单以百货业绩高增长预期来定价。</w:t>
      </w:r>
    </w:p>
    <w:p>
      <w:pPr>
        <w:spacing w:before="161" w:after="161"/>
        <w:ind w:left="120"/>
        <w:jc w:val="left"/>
      </w:pPr>
      <w:r>
        <w:rPr>
          <w:rFonts w:ascii="Times New Roman" w:hAnsi="Times New Roman"/>
          <w:b/>
          <w:i w:val="false"/>
          <w:color w:val="000000"/>
          <w:sz w:val="44"/>
        </w:rPr>
        <w:t>三、百大集团2025年经营业绩回顾与管理层前瞻</w:t>
      </w:r>
    </w:p>
    <w:p>
      <w:pPr>
        <w:spacing w:before="269" w:after="269"/>
        <w:ind w:left="120"/>
        <w:jc w:val="left"/>
      </w:pPr>
      <w:r>
        <w:rPr>
          <w:rFonts w:ascii="Times New Roman" w:hAnsi="Times New Roman"/>
          <w:b w:val="false"/>
          <w:i w:val="false"/>
          <w:color w:val="000000"/>
          <w:sz w:val="22"/>
        </w:rPr>
        <w:t>2025年前三季度，百大集团呈现出**“主业现金流稳健、金融资产波动剧烈、利润表大起大落”</w:t>
      </w:r>
      <w:r>
        <w:rPr>
          <w:rFonts w:ascii="Times New Roman" w:hAnsi="Times New Roman"/>
          <w:b/>
          <w:i w:val="false"/>
          <w:color w:val="000000"/>
          <w:sz w:val="22"/>
        </w:rPr>
        <w:t>的鲜明特征：营业收入小幅下滑但毛利率仍维持高位，依托</w:t>
      </w:r>
      <w:r>
        <w:rPr>
          <w:rFonts w:ascii="Times New Roman" w:hAnsi="Times New Roman"/>
          <w:b w:val="false"/>
          <w:i w:val="false"/>
          <w:color w:val="000000"/>
          <w:sz w:val="22"/>
        </w:rPr>
        <w:t>杭州百货大楼托管、物业租赁与新开业杭州大酒店**，经营性业务贡献的扣非净利润仍在4亿元以上；但受</w:t>
      </w:r>
      <w:r>
        <w:rPr>
          <w:rFonts w:ascii="Times New Roman" w:hAnsi="Times New Roman"/>
          <w:b/>
          <w:i w:val="false"/>
          <w:color w:val="000000"/>
          <w:sz w:val="22"/>
        </w:rPr>
        <w:t>金地商置、杭州工商信托等权益投资及二级市场股票价格大幅回撤</w:t>
      </w:r>
      <w:r>
        <w:rPr>
          <w:rFonts w:ascii="Times New Roman" w:hAnsi="Times New Roman"/>
          <w:b w:val="false"/>
          <w:i w:val="false"/>
          <w:color w:val="000000"/>
          <w:sz w:val="22"/>
        </w:rPr>
        <w:t>影响，金融资产公允价值变动拖累利润，导致归母净利润同比大幅下滑超八成。</w:t>
      </w:r>
    </w:p>
    <w:p>
      <w:pPr>
        <w:spacing w:before="269" w:after="269"/>
        <w:ind w:left="120"/>
        <w:jc w:val="left"/>
      </w:pPr>
      <w:r>
        <w:rPr>
          <w:rFonts w:ascii="Times New Roman" w:hAnsi="Times New Roman"/>
          <w:b w:val="false"/>
          <w:i w:val="false"/>
          <w:color w:val="000000"/>
          <w:sz w:val="22"/>
        </w:rPr>
        <w:t>从管理层前瞻看，公司整体战略仍坚持**“稳中求进+资产盘活+审慎投资”</w:t>
      </w:r>
      <w:r>
        <w:rPr>
          <w:rFonts w:ascii="Times New Roman" w:hAnsi="Times New Roman"/>
          <w:b/>
          <w:i w:val="false"/>
          <w:color w:val="000000"/>
          <w:sz w:val="22"/>
        </w:rPr>
        <w:t>：一方面，以杭州百货大楼恒隆20年租赁合同锁定自2028年起</w:t>
      </w:r>
      <w:r>
        <w:rPr>
          <w:rFonts w:ascii="Times New Roman" w:hAnsi="Times New Roman"/>
          <w:b w:val="false"/>
          <w:i w:val="false"/>
          <w:color w:val="000000"/>
          <w:sz w:val="22"/>
        </w:rPr>
        <w:t>年租金1.5亿元且每三年递增4.5%**的高确定性现金流，同时继续提升现有自持物业、杭州大酒店及501城市广场的经营效率；另一方面，在金融投资端承认房地产业务相关资产对业绩造成显著负面影响，明确将“积极寻求解决方案、减缓对上市公司影响”作为未来一段时间的重点工作。</w:t>
      </w:r>
    </w:p>
    <w:p>
      <w:pPr>
        <w:spacing w:before="269" w:after="269"/>
        <w:ind w:left="120"/>
        <w:jc w:val="left"/>
      </w:pPr>
      <w:r>
        <w:rPr>
          <w:rFonts w:ascii="Times New Roman" w:hAnsi="Times New Roman"/>
          <w:b w:val="false"/>
          <w:i w:val="false"/>
          <w:color w:val="000000"/>
          <w:sz w:val="22"/>
        </w:rPr>
        <w:t>综合判断：</w:t>
      </w:r>
      <w:r>
        <w:rPr>
          <w:rFonts w:ascii="Times New Roman" w:hAnsi="Times New Roman"/>
          <w:b/>
          <w:i w:val="false"/>
          <w:color w:val="000000"/>
          <w:sz w:val="22"/>
        </w:rPr>
        <w:t>短期（2025-2026年）百大集团的核心看点不在于主业高增长，而在于“盈利质量由金融波动向经营现金流回归”和“恒隆租约锁定的长期价值重估”</w:t>
      </w:r>
      <w:r>
        <w:rPr>
          <w:rFonts w:ascii="Times New Roman" w:hAnsi="Times New Roman"/>
          <w:b w:val="false"/>
          <w:i w:val="false"/>
          <w:color w:val="000000"/>
          <w:sz w:val="22"/>
        </w:rPr>
        <w:t>。主业稳、现金厚、金融资产压制利润的阶段特征，为中长期价值投资者提供了在业绩底部观察、择机布局的窗口。</w:t>
      </w:r>
    </w:p>
    <w:p>
      <w:pPr>
        <w:spacing w:before="180" w:after="180"/>
        <w:ind w:left="120"/>
        <w:jc w:val="left"/>
      </w:pPr>
      <w:r>
        <w:rPr>
          <w:rFonts w:ascii="Times New Roman" w:hAnsi="Times New Roman"/>
          <w:b/>
          <w:i w:val="false"/>
          <w:color w:val="000000"/>
          <w:sz w:val="33"/>
        </w:rPr>
        <w:t>3.1 2025年前三季度业绩总体回顾：收入小幅承压，利润受金融资产拖累</w:t>
      </w:r>
    </w:p>
    <w:p>
      <w:pPr>
        <w:spacing w:before="199" w:after="199"/>
        <w:ind w:left="120"/>
        <w:jc w:val="left"/>
      </w:pPr>
      <w:r>
        <w:rPr>
          <w:rFonts w:ascii="Times New Roman" w:hAnsi="Times New Roman"/>
          <w:b/>
          <w:i w:val="false"/>
          <w:color w:val="000000"/>
          <w:sz w:val="26"/>
        </w:rPr>
        <w:t>3.1.1 收入、利润与现金流概览</w:t>
      </w:r>
    </w:p>
    <w:p>
      <w:pPr>
        <w:spacing w:before="269" w:after="269"/>
        <w:ind w:left="120"/>
        <w:jc w:val="left"/>
      </w:pPr>
      <w:r>
        <w:rPr>
          <w:rFonts w:ascii="Times New Roman" w:hAnsi="Times New Roman"/>
          <w:b w:val="false"/>
          <w:i w:val="false"/>
          <w:color w:val="000000"/>
          <w:sz w:val="22"/>
        </w:rPr>
        <w:t>2025年前三季度，公司实现</w:t>
      </w:r>
      <w:r>
        <w:rPr>
          <w:rFonts w:ascii="Times New Roman" w:hAnsi="Times New Roman"/>
          <w:b/>
          <w:i w:val="false"/>
          <w:color w:val="000000"/>
          <w:sz w:val="22"/>
        </w:rPr>
        <w:t>营业收入13,271.47万元，同比下降6.86%</w:t>
      </w:r>
      <w:r>
        <w:rPr>
          <w:rFonts w:ascii="Times New Roman" w:hAnsi="Times New Roman"/>
          <w:b w:val="false"/>
          <w:i w:val="false"/>
          <w:color w:val="000000"/>
          <w:sz w:val="22"/>
        </w:rPr>
        <w:t>；其中三季度单季收入</w:t>
      </w:r>
      <w:r>
        <w:rPr>
          <w:rFonts w:ascii="Times New Roman" w:hAnsi="Times New Roman"/>
          <w:b/>
          <w:i w:val="false"/>
          <w:color w:val="000000"/>
          <w:sz w:val="22"/>
        </w:rPr>
        <w:t>4,068.14万元，同比增长8.10%</w:t>
      </w:r>
      <w:r>
        <w:rPr>
          <w:rFonts w:ascii="Times New Roman" w:hAnsi="Times New Roman"/>
          <w:b w:val="false"/>
          <w:i w:val="false"/>
          <w:color w:val="000000"/>
          <w:sz w:val="22"/>
        </w:rPr>
        <w:t>，显示在低基数下收入已出现恢复迹象。</w:t>
      </w:r>
    </w:p>
    <w:p>
      <w:pPr>
        <w:spacing w:before="269" w:after="269"/>
        <w:ind w:left="120"/>
        <w:jc w:val="left"/>
      </w:pPr>
      <w:r>
        <w:rPr>
          <w:rFonts w:ascii="Times New Roman" w:hAnsi="Times New Roman"/>
          <w:b w:val="false"/>
          <w:i w:val="false"/>
          <w:color w:val="000000"/>
          <w:sz w:val="22"/>
        </w:rPr>
        <w:t>利润端受金融资产拖累明显。2025年前三季度，公司实现：</w:t>
      </w:r>
    </w:p>
    <w:p>
      <w:pPr>
        <w:numPr>
          <w:ilvl w:val="0"/>
          <w:numId w:val="43"/>
        </w:numPr>
        <w:spacing w:before="0" w:after="0"/>
        <w:jc w:val="left"/>
      </w:pPr>
      <w:r>
        <w:rPr>
          <w:rFonts w:ascii="Times New Roman" w:hAnsi="Times New Roman"/>
          <w:b/>
          <w:i w:val="false"/>
          <w:color w:val="000000"/>
          <w:sz w:val="22"/>
        </w:rPr>
        <w:t>利润总额4,144.75万元，同比下降77.37%</w:t>
      </w:r>
      <w:r>
        <w:rPr>
          <w:rFonts w:ascii="Times New Roman" w:hAnsi="Times New Roman"/>
          <w:b w:val="false"/>
          <w:i w:val="false"/>
          <w:color w:val="000000"/>
          <w:sz w:val="22"/>
        </w:rPr>
        <w:t>；</w:t>
      </w:r>
    </w:p>
    <w:p>
      <w:pPr>
        <w:numPr>
          <w:ilvl w:val="0"/>
          <w:numId w:val="43"/>
        </w:numPr>
        <w:spacing w:before="0" w:after="0"/>
        <w:jc w:val="left"/>
      </w:pPr>
      <w:r>
        <w:rPr>
          <w:rFonts w:ascii="Times New Roman" w:hAnsi="Times New Roman"/>
          <w:b/>
          <w:i w:val="false"/>
          <w:color w:val="000000"/>
          <w:sz w:val="22"/>
        </w:rPr>
        <w:t>归属于上市公司股东的净利润2,396.78万元，同比下降81.78%</w:t>
      </w:r>
      <w:r>
        <w:rPr>
          <w:rFonts w:ascii="Times New Roman" w:hAnsi="Times New Roman"/>
          <w:b w:val="false"/>
          <w:i w:val="false"/>
          <w:color w:val="000000"/>
          <w:sz w:val="22"/>
        </w:rPr>
        <w:t>；</w:t>
      </w:r>
    </w:p>
    <w:p>
      <w:pPr>
        <w:numPr>
          <w:ilvl w:val="0"/>
          <w:numId w:val="43"/>
        </w:numPr>
        <w:spacing w:before="0" w:after="0"/>
        <w:jc w:val="left"/>
      </w:pPr>
      <w:r>
        <w:rPr>
          <w:rFonts w:ascii="Times New Roman" w:hAnsi="Times New Roman"/>
          <w:b/>
          <w:i w:val="false"/>
          <w:color w:val="000000"/>
          <w:sz w:val="22"/>
        </w:rPr>
        <w:t>扣非归母净利润4,223.40万元，同比下降32.53%</w:t>
      </w:r>
      <w:r>
        <w:rPr>
          <w:rFonts w:ascii="Times New Roman" w:hAnsi="Times New Roman"/>
          <w:b w:val="false"/>
          <w:i w:val="false"/>
          <w:color w:val="000000"/>
          <w:sz w:val="22"/>
        </w:rPr>
        <w:t>。</w:t>
      </w:r>
    </w:p>
    <w:p>
      <w:pPr>
        <w:spacing w:before="269" w:after="269"/>
        <w:ind w:left="120"/>
        <w:jc w:val="left"/>
      </w:pPr>
      <w:r>
        <w:rPr>
          <w:rFonts w:ascii="Times New Roman" w:hAnsi="Times New Roman"/>
          <w:b w:val="false"/>
          <w:i w:val="false"/>
          <w:color w:val="000000"/>
          <w:sz w:val="22"/>
        </w:rPr>
        <w:t>可见，若剔除金融资产公允价值变动等非经常性因素，公司</w:t>
      </w:r>
      <w:r>
        <w:rPr>
          <w:rFonts w:ascii="Times New Roman" w:hAnsi="Times New Roman"/>
          <w:b/>
          <w:i w:val="false"/>
          <w:color w:val="000000"/>
          <w:sz w:val="22"/>
        </w:rPr>
        <w:t>经营性盈利仍保持在4,000万元以上，仅中低双位数下滑</w:t>
      </w:r>
      <w:r>
        <w:rPr>
          <w:rFonts w:ascii="Times New Roman" w:hAnsi="Times New Roman"/>
          <w:b w:val="false"/>
          <w:i w:val="false"/>
          <w:color w:val="000000"/>
          <w:sz w:val="22"/>
        </w:rPr>
        <w:t>，远好于表观净利润的“断崖式”下降。</w:t>
      </w:r>
    </w:p>
    <w:p>
      <w:pPr>
        <w:spacing w:before="269" w:after="269"/>
        <w:ind w:left="120"/>
        <w:jc w:val="left"/>
      </w:pPr>
      <w:r>
        <w:rPr>
          <w:rFonts w:ascii="Times New Roman" w:hAnsi="Times New Roman"/>
          <w:b w:val="false"/>
          <w:i w:val="false"/>
          <w:color w:val="000000"/>
          <w:sz w:val="22"/>
        </w:rPr>
        <w:t>现金流端，2025年前三季度经营活动产生的现金流量净额为</w:t>
      </w:r>
      <w:r>
        <w:rPr>
          <w:rFonts w:ascii="Times New Roman" w:hAnsi="Times New Roman"/>
          <w:b/>
          <w:i w:val="false"/>
          <w:color w:val="000000"/>
          <w:sz w:val="22"/>
        </w:rPr>
        <w:t>972.85万元，同比下降51.07%</w:t>
      </w:r>
      <w:r>
        <w:rPr>
          <w:rFonts w:ascii="Times New Roman" w:hAnsi="Times New Roman"/>
          <w:b w:val="false"/>
          <w:i w:val="false"/>
          <w:color w:val="000000"/>
          <w:sz w:val="22"/>
        </w:rPr>
        <w:t>，主要系百货大楼商品销售收入和回款减少；投资活动净现金流为</w:t>
      </w:r>
      <w:r>
        <w:rPr>
          <w:rFonts w:ascii="Times New Roman" w:hAnsi="Times New Roman"/>
          <w:b/>
          <w:i w:val="false"/>
          <w:color w:val="000000"/>
          <w:sz w:val="22"/>
        </w:rPr>
        <w:t>8,216.59万元净流入</w:t>
      </w:r>
      <w:r>
        <w:rPr>
          <w:rFonts w:ascii="Times New Roman" w:hAnsi="Times New Roman"/>
          <w:b w:val="false"/>
          <w:i w:val="false"/>
          <w:color w:val="000000"/>
          <w:sz w:val="22"/>
        </w:rPr>
        <w:t>，主要来自大规模理财及投资回笼；筹资活动净现金流为**-6,772.33万元**，主要为现金分红支付所致。</w:t>
      </w:r>
    </w:p>
    <w:p>
      <w:pPr>
        <w:spacing w:before="269" w:after="269"/>
        <w:ind w:left="120"/>
        <w:jc w:val="left"/>
      </w:pPr>
      <w:r>
        <w:rPr>
          <w:rFonts w:ascii="Times New Roman" w:hAnsi="Times New Roman"/>
          <w:b w:val="false"/>
          <w:i w:val="false"/>
          <w:color w:val="000000"/>
          <w:sz w:val="22"/>
        </w:rPr>
        <w:t>资产负债表层面，公司</w:t>
      </w:r>
      <w:r>
        <w:rPr>
          <w:rFonts w:ascii="Times New Roman" w:hAnsi="Times New Roman"/>
          <w:b/>
          <w:i w:val="false"/>
          <w:color w:val="000000"/>
          <w:sz w:val="22"/>
        </w:rPr>
        <w:t>货币资金9,341.44万元</w:t>
      </w:r>
      <w:r>
        <w:rPr>
          <w:rFonts w:ascii="Times New Roman" w:hAnsi="Times New Roman"/>
          <w:b w:val="false"/>
          <w:i w:val="false"/>
          <w:color w:val="000000"/>
          <w:sz w:val="22"/>
        </w:rPr>
        <w:t>、交易性金融资产及其他非流动金融资产合计规模超</w:t>
      </w:r>
      <w:r>
        <w:rPr>
          <w:rFonts w:ascii="Times New Roman" w:hAnsi="Times New Roman"/>
          <w:b/>
          <w:i w:val="false"/>
          <w:color w:val="000000"/>
          <w:sz w:val="22"/>
        </w:rPr>
        <w:t>14亿元</w:t>
      </w:r>
      <w:r>
        <w:rPr>
          <w:rFonts w:ascii="Times New Roman" w:hAnsi="Times New Roman"/>
          <w:b w:val="false"/>
          <w:i w:val="false"/>
          <w:color w:val="000000"/>
          <w:sz w:val="22"/>
        </w:rPr>
        <w:t>，整体资产负债表高度稳健，无有息负债压力，流动负债仅约</w:t>
      </w:r>
      <w:r>
        <w:rPr>
          <w:rFonts w:ascii="Times New Roman" w:hAnsi="Times New Roman"/>
          <w:b/>
          <w:i w:val="false"/>
          <w:color w:val="000000"/>
          <w:sz w:val="22"/>
        </w:rPr>
        <w:t>1.29亿元</w:t>
      </w:r>
      <w:r>
        <w:rPr>
          <w:rFonts w:ascii="Times New Roman" w:hAnsi="Times New Roman"/>
          <w:b w:val="false"/>
          <w:i w:val="false"/>
          <w:color w:val="000000"/>
          <w:sz w:val="22"/>
        </w:rPr>
        <w:t>。</w:t>
      </w:r>
    </w:p>
    <w:p>
      <w:pPr>
        <w:spacing w:before="269" w:after="269"/>
        <w:ind w:left="120"/>
        <w:jc w:val="left"/>
      </w:pPr>
      <w:r>
        <w:rPr>
          <w:rFonts w:ascii="Times New Roman" w:hAnsi="Times New Roman"/>
          <w:b/>
          <w:i w:val="false"/>
          <w:color w:val="000000"/>
          <w:sz w:val="22"/>
        </w:rPr>
        <w:t>小结：</w:t>
      </w:r>
      <w:r>
        <w:rPr>
          <w:rFonts w:ascii="Times New Roman" w:hAnsi="Times New Roman"/>
          <w:b w:val="false"/>
          <w:i w:val="false"/>
          <w:color w:val="000000"/>
          <w:sz w:val="22"/>
        </w:rPr>
        <w:t xml:space="preserve"> 2025年前三季度，营业收入小幅承压，扣非利润中度回落，经营性现金流边际走弱，但资产负债表和投资现金流极为稳健，</w:t>
      </w:r>
      <w:r>
        <w:rPr>
          <w:rFonts w:ascii="Times New Roman" w:hAnsi="Times New Roman"/>
          <w:b/>
          <w:i w:val="false"/>
          <w:color w:val="000000"/>
          <w:sz w:val="22"/>
        </w:rPr>
        <w:t>问题主要集中在利润表金融资产公允价值波动，而非经营基本面恶化</w:t>
      </w:r>
      <w:r>
        <w:rPr>
          <w:rFonts w:ascii="Times New Roman" w:hAnsi="Times New Roman"/>
          <w:b w:val="false"/>
          <w:i w:val="false"/>
          <w:color w:val="000000"/>
          <w:sz w:val="22"/>
        </w:rPr>
        <w:t>。</w:t>
      </w:r>
    </w:p>
    <w:p>
      <w:pPr>
        <w:spacing w:before="199" w:after="199"/>
        <w:ind w:left="120"/>
        <w:jc w:val="left"/>
      </w:pPr>
      <w:r>
        <w:rPr>
          <w:rFonts w:ascii="Times New Roman" w:hAnsi="Times New Roman"/>
          <w:b/>
          <w:i w:val="false"/>
          <w:color w:val="000000"/>
          <w:sz w:val="26"/>
        </w:rPr>
        <w:t>3.1.2 金融投资对利润的冲击：公允价值“踩雷”，投资收益难以对冲</w:t>
      </w:r>
    </w:p>
    <w:p>
      <w:pPr>
        <w:spacing w:before="269" w:after="269"/>
        <w:ind w:left="120"/>
        <w:jc w:val="left"/>
      </w:pPr>
      <w:r>
        <w:rPr>
          <w:rFonts w:ascii="Times New Roman" w:hAnsi="Times New Roman"/>
          <w:b/>
          <w:i w:val="false"/>
          <w:color w:val="000000"/>
          <w:sz w:val="22"/>
        </w:rPr>
        <w:t>3.1.2.1 公允价值变动与投资收益拆解</w:t>
      </w:r>
    </w:p>
    <w:p>
      <w:pPr>
        <w:spacing w:before="269" w:after="269"/>
        <w:ind w:left="120"/>
        <w:jc w:val="left"/>
      </w:pPr>
      <w:r>
        <w:rPr>
          <w:rFonts w:ascii="Times New Roman" w:hAnsi="Times New Roman"/>
          <w:b w:val="false"/>
          <w:i w:val="false"/>
          <w:color w:val="000000"/>
          <w:sz w:val="22"/>
        </w:rPr>
        <w:t>2025年前三季度，公司金融投资端的两大关键科目为</w:t>
      </w:r>
      <w:r>
        <w:rPr>
          <w:rFonts w:ascii="Times New Roman" w:hAnsi="Times New Roman"/>
          <w:b/>
          <w:i w:val="false"/>
          <w:color w:val="000000"/>
          <w:sz w:val="22"/>
        </w:rPr>
        <w:t>公允价值变动收益</w:t>
      </w:r>
      <w:r>
        <w:rPr>
          <w:rFonts w:ascii="Times New Roman" w:hAnsi="Times New Roman"/>
          <w:b w:val="false"/>
          <w:i w:val="false"/>
          <w:color w:val="000000"/>
          <w:sz w:val="22"/>
        </w:rPr>
        <w:t>与</w:t>
      </w:r>
      <w:r>
        <w:rPr>
          <w:rFonts w:ascii="Times New Roman" w:hAnsi="Times New Roman"/>
          <w:b/>
          <w:i w:val="false"/>
          <w:color w:val="000000"/>
          <w:sz w:val="22"/>
        </w:rPr>
        <w:t>投资收益</w:t>
      </w:r>
      <w:r>
        <w:rPr>
          <w:rFonts w:ascii="Times New Roman" w:hAnsi="Times New Roman"/>
          <w:b w:val="false"/>
          <w:i w:val="false"/>
          <w:color w:val="000000"/>
          <w:sz w:val="22"/>
        </w:rPr>
        <w:t>：</w:t>
      </w:r>
    </w:p>
    <w:p>
      <w:pPr>
        <w:numPr>
          <w:ilvl w:val="0"/>
          <w:numId w:val="44"/>
        </w:numPr>
        <w:spacing w:before="0" w:after="0"/>
        <w:jc w:val="left"/>
      </w:pPr>
      <w:r>
        <w:rPr>
          <w:rFonts w:ascii="Times New Roman" w:hAnsi="Times New Roman"/>
          <w:b/>
          <w:i w:val="false"/>
          <w:color w:val="000000"/>
          <w:sz w:val="22"/>
        </w:rPr>
        <w:t>公允价值变动收益</w:t>
      </w:r>
      <w:r>
        <w:rPr>
          <w:rFonts w:ascii="Times New Roman" w:hAnsi="Times New Roman"/>
          <w:b w:val="false"/>
          <w:i w:val="false"/>
          <w:color w:val="000000"/>
          <w:sz w:val="22"/>
        </w:rPr>
        <w:t>：2025H1确认**-382.97万元**，其中股票公允价值变动**+374.01万元**，杭州工商信托股权**-3,743.03万元**为主要拖累；信托、理财等合计变动略为负值。</w:t>
      </w:r>
    </w:p>
    <w:p>
      <w:pPr>
        <w:numPr>
          <w:ilvl w:val="0"/>
          <w:numId w:val="44"/>
        </w:numPr>
        <w:spacing w:before="0" w:after="0"/>
        <w:jc w:val="left"/>
      </w:pPr>
      <w:r>
        <w:rPr>
          <w:rFonts w:ascii="Times New Roman" w:hAnsi="Times New Roman"/>
          <w:b w:val="false"/>
          <w:i w:val="false"/>
          <w:color w:val="000000"/>
          <w:sz w:val="22"/>
        </w:rPr>
        <w:t>2025年前三季度合计公允价值变动收益为**-71,403.77万元**，同比由正转负（2024年前三季度为**+46,897.72万元**），对利润形成巨大反向冲击。</w:t>
      </w:r>
    </w:p>
    <w:p>
      <w:pPr>
        <w:numPr>
          <w:ilvl w:val="0"/>
          <w:numId w:val="44"/>
        </w:numPr>
        <w:spacing w:before="0" w:after="0"/>
        <w:jc w:val="left"/>
      </w:pPr>
      <w:r>
        <w:rPr>
          <w:rFonts w:ascii="Times New Roman" w:hAnsi="Times New Roman"/>
          <w:b/>
          <w:i w:val="false"/>
          <w:color w:val="000000"/>
          <w:sz w:val="22"/>
        </w:rPr>
        <w:t>投资收益方面</w:t>
      </w:r>
      <w:r>
        <w:rPr>
          <w:rFonts w:ascii="Times New Roman" w:hAnsi="Times New Roman"/>
          <w:b w:val="false"/>
          <w:i w:val="false"/>
          <w:color w:val="000000"/>
          <w:sz w:val="22"/>
        </w:rPr>
        <w:t>，2025年前三季度实现投资收益</w:t>
      </w:r>
      <w:r>
        <w:rPr>
          <w:rFonts w:ascii="Times New Roman" w:hAnsi="Times New Roman"/>
          <w:b/>
          <w:i w:val="false"/>
          <w:color w:val="000000"/>
          <w:sz w:val="22"/>
        </w:rPr>
        <w:t>47,627.15万元</w:t>
      </w:r>
      <w:r>
        <w:rPr>
          <w:rFonts w:ascii="Times New Roman" w:hAnsi="Times New Roman"/>
          <w:b w:val="false"/>
          <w:i w:val="false"/>
          <w:color w:val="000000"/>
          <w:sz w:val="22"/>
        </w:rPr>
        <w:t>，其中以摊余成本计量的金融资产终止确认收益</w:t>
      </w:r>
      <w:r>
        <w:rPr>
          <w:rFonts w:ascii="Times New Roman" w:hAnsi="Times New Roman"/>
          <w:b/>
          <w:i w:val="false"/>
          <w:color w:val="000000"/>
          <w:sz w:val="22"/>
        </w:rPr>
        <w:t>7,233.74万元</w:t>
      </w:r>
      <w:r>
        <w:rPr>
          <w:rFonts w:ascii="Times New Roman" w:hAnsi="Times New Roman"/>
          <w:b w:val="false"/>
          <w:i w:val="false"/>
          <w:color w:val="000000"/>
          <w:sz w:val="22"/>
        </w:rPr>
        <w:t>，其余主要为二级市场股票分红及联营企业投资收益；</w:t>
      </w:r>
    </w:p>
    <w:p>
      <w:pPr>
        <w:numPr>
          <w:ilvl w:val="0"/>
          <w:numId w:val="44"/>
        </w:numPr>
        <w:spacing w:before="0" w:after="0"/>
        <w:jc w:val="left"/>
      </w:pPr>
      <w:r>
        <w:rPr>
          <w:rFonts w:ascii="Times New Roman" w:hAnsi="Times New Roman"/>
          <w:b w:val="false"/>
          <w:i w:val="false"/>
          <w:color w:val="000000"/>
          <w:sz w:val="22"/>
        </w:rPr>
        <w:t>单三季度投资收益</w:t>
      </w:r>
      <w:r>
        <w:rPr>
          <w:rFonts w:ascii="Times New Roman" w:hAnsi="Times New Roman"/>
          <w:b/>
          <w:i w:val="false"/>
          <w:color w:val="000000"/>
          <w:sz w:val="22"/>
        </w:rPr>
        <w:t>10,807.90万元</w:t>
      </w:r>
      <w:r>
        <w:rPr>
          <w:rFonts w:ascii="Times New Roman" w:hAnsi="Times New Roman"/>
          <w:b w:val="false"/>
          <w:i w:val="false"/>
          <w:color w:val="000000"/>
          <w:sz w:val="22"/>
        </w:rPr>
        <w:t>，公允价值变动净收益**-6,757.41万元**，两者相抵仍为正，但不足以对冲前三季度累计大额公允价值损失。</w:t>
      </w:r>
    </w:p>
    <w:p>
      <w:pPr>
        <w:spacing w:before="269" w:after="269"/>
        <w:ind w:left="120"/>
        <w:jc w:val="left"/>
      </w:pPr>
      <w:r>
        <w:rPr>
          <w:rFonts w:ascii="Times New Roman" w:hAnsi="Times New Roman"/>
          <w:b w:val="false"/>
          <w:i w:val="false"/>
          <w:color w:val="000000"/>
          <w:sz w:val="22"/>
        </w:rPr>
        <w:t>从利润表变动分析，公司在2025年前三季度</w:t>
      </w:r>
      <w:r>
        <w:rPr>
          <w:rFonts w:ascii="Times New Roman" w:hAnsi="Times New Roman"/>
          <w:b/>
          <w:i w:val="false"/>
          <w:color w:val="000000"/>
          <w:sz w:val="22"/>
        </w:rPr>
        <w:t>利润总额同比下降77.37%</w:t>
      </w:r>
      <w:r>
        <w:rPr>
          <w:rFonts w:ascii="Times New Roman" w:hAnsi="Times New Roman"/>
          <w:b w:val="false"/>
          <w:i w:val="false"/>
          <w:color w:val="000000"/>
          <w:sz w:val="22"/>
        </w:rPr>
        <w:t>，归母净利润同比下降81.78%，管理层明确归因为**“持有二级市场股票股价下跌”</w:t>
      </w:r>
      <w:r>
        <w:rPr>
          <w:rFonts w:ascii="Times New Roman" w:hAnsi="Times New Roman"/>
          <w:b/>
          <w:i w:val="false"/>
          <w:color w:val="000000"/>
          <w:sz w:val="22"/>
        </w:rPr>
        <w:t>以及</w:t>
      </w:r>
      <w:r>
        <w:rPr>
          <w:rFonts w:ascii="Times New Roman" w:hAnsi="Times New Roman"/>
          <w:b w:val="false"/>
          <w:i w:val="false"/>
          <w:color w:val="000000"/>
          <w:sz w:val="22"/>
        </w:rPr>
        <w:t>“杭工商信托公允价值变动损失”**所致。</w:t>
      </w:r>
    </w:p>
    <w:p>
      <w:pPr>
        <w:spacing w:before="269" w:after="269"/>
        <w:ind w:left="120"/>
        <w:jc w:val="left"/>
      </w:pPr>
      <w:r>
        <w:rPr>
          <w:rFonts w:ascii="Times New Roman" w:hAnsi="Times New Roman"/>
          <w:b/>
          <w:i w:val="false"/>
          <w:color w:val="000000"/>
          <w:sz w:val="22"/>
        </w:rPr>
        <w:t>3.1.2.2 核心问题资产：金地商置与杭州工商信托</w:t>
      </w:r>
    </w:p>
    <w:p>
      <w:pPr>
        <w:spacing w:before="269" w:after="269"/>
        <w:ind w:left="120"/>
        <w:jc w:val="left"/>
      </w:pPr>
      <w:r>
        <w:rPr>
          <w:rFonts w:ascii="Times New Roman" w:hAnsi="Times New Roman"/>
          <w:b w:val="false"/>
          <w:i w:val="false"/>
          <w:color w:val="000000"/>
          <w:sz w:val="22"/>
        </w:rPr>
        <w:t>从半年度公允价值披露看，公司交易性金融资产中的股票投资主要为</w:t>
      </w:r>
      <w:r>
        <w:rPr>
          <w:rFonts w:ascii="Times New Roman" w:hAnsi="Times New Roman"/>
          <w:b/>
          <w:i w:val="false"/>
          <w:color w:val="000000"/>
          <w:sz w:val="22"/>
        </w:rPr>
        <w:t>杭州银行与金地商置</w:t>
      </w:r>
      <w:r>
        <w:rPr>
          <w:rFonts w:ascii="Times New Roman" w:hAnsi="Times New Roman"/>
          <w:b w:val="false"/>
          <w:i w:val="false"/>
          <w:color w:val="000000"/>
          <w:sz w:val="22"/>
        </w:rPr>
        <w:t>，2025年中期合计市值</w:t>
      </w:r>
      <w:r>
        <w:rPr>
          <w:rFonts w:ascii="Times New Roman" w:hAnsi="Times New Roman"/>
          <w:b/>
          <w:i w:val="false"/>
          <w:color w:val="000000"/>
          <w:sz w:val="22"/>
        </w:rPr>
        <w:t>2.94亿元</w:t>
      </w:r>
      <w:r>
        <w:rPr>
          <w:rFonts w:ascii="Times New Roman" w:hAnsi="Times New Roman"/>
          <w:b w:val="false"/>
          <w:i w:val="false"/>
          <w:color w:val="000000"/>
          <w:sz w:val="22"/>
        </w:rPr>
        <w:t>，较期初</w:t>
      </w:r>
      <w:r>
        <w:rPr>
          <w:rFonts w:ascii="Times New Roman" w:hAnsi="Times New Roman"/>
          <w:b/>
          <w:i w:val="false"/>
          <w:color w:val="000000"/>
          <w:sz w:val="22"/>
        </w:rPr>
        <w:t>2.79亿元</w:t>
      </w:r>
      <w:r>
        <w:rPr>
          <w:rFonts w:ascii="Times New Roman" w:hAnsi="Times New Roman"/>
          <w:b w:val="false"/>
          <w:i w:val="false"/>
          <w:color w:val="000000"/>
          <w:sz w:val="22"/>
        </w:rPr>
        <w:t>略有浮盈；其中杭州银行2025H1表现稳健，金地商置受地产行业调整影响股价波动较大。</w:t>
      </w:r>
    </w:p>
    <w:p>
      <w:pPr>
        <w:spacing w:before="269" w:after="269"/>
        <w:ind w:left="120"/>
        <w:jc w:val="left"/>
      </w:pPr>
      <w:r>
        <w:rPr>
          <w:rFonts w:ascii="Times New Roman" w:hAnsi="Times New Roman"/>
          <w:b w:val="false"/>
          <w:i w:val="false"/>
          <w:color w:val="000000"/>
          <w:sz w:val="22"/>
        </w:rPr>
        <w:t>更大的风险暴露在</w:t>
      </w:r>
      <w:r>
        <w:rPr>
          <w:rFonts w:ascii="Times New Roman" w:hAnsi="Times New Roman"/>
          <w:b/>
          <w:i w:val="false"/>
          <w:color w:val="000000"/>
          <w:sz w:val="22"/>
        </w:rPr>
        <w:t>以公允价值计量的股权投资</w:t>
      </w:r>
      <w:r>
        <w:rPr>
          <w:rFonts w:ascii="Times New Roman" w:hAnsi="Times New Roman"/>
          <w:b w:val="false"/>
          <w:i w:val="false"/>
          <w:color w:val="000000"/>
          <w:sz w:val="22"/>
        </w:rPr>
        <w:t>特别是杭州工商信托上：</w:t>
      </w:r>
    </w:p>
    <w:p>
      <w:pPr>
        <w:numPr>
          <w:ilvl w:val="0"/>
          <w:numId w:val="45"/>
        </w:numPr>
        <w:spacing w:before="0" w:after="0"/>
        <w:jc w:val="left"/>
      </w:pPr>
      <w:r>
        <w:rPr>
          <w:rFonts w:ascii="Times New Roman" w:hAnsi="Times New Roman"/>
          <w:b w:val="false"/>
          <w:i w:val="false"/>
          <w:color w:val="000000"/>
          <w:sz w:val="22"/>
        </w:rPr>
        <w:t>2025H1公司对杭工商信托确认公允价值变动损失**-3,743.03万元**；</w:t>
      </w:r>
    </w:p>
    <w:p>
      <w:pPr>
        <w:numPr>
          <w:ilvl w:val="0"/>
          <w:numId w:val="45"/>
        </w:numPr>
        <w:spacing w:before="0" w:after="0"/>
        <w:jc w:val="left"/>
      </w:pPr>
      <w:r>
        <w:rPr>
          <w:rFonts w:ascii="Times New Roman" w:hAnsi="Times New Roman"/>
          <w:b w:val="false"/>
          <w:i w:val="false"/>
          <w:color w:val="000000"/>
          <w:sz w:val="22"/>
        </w:rPr>
        <w:t>年报及风险提示中，多次强调杭工商信托**“持续亏损、净资产连年下降”**，未来股权公允价值存在进一步损失风险。</w:t>
      </w:r>
    </w:p>
    <w:p>
      <w:pPr>
        <w:spacing w:before="269" w:after="269"/>
        <w:ind w:left="120"/>
        <w:jc w:val="left"/>
      </w:pPr>
      <w:r>
        <w:rPr>
          <w:rFonts w:ascii="Times New Roman" w:hAnsi="Times New Roman"/>
          <w:b w:val="false"/>
          <w:i w:val="false"/>
          <w:color w:val="000000"/>
          <w:sz w:val="22"/>
        </w:rPr>
        <w:t>在2025年三季度业绩说明会上，投资者直言金地商置与杭工商信托投资“已对经营发展造成显著负面影响”，单季归母净利润同比下降142.77%，“核心原因之一便是持有二级市场股票（含金地商置）股价波动导致利润大幅下滑；而杭州工商信托持续录得亏损，其公允价值变动损失及存量风险化解压力，进一步拖累公司盈利表现”。管理层回应称，</w:t>
      </w:r>
      <w:r>
        <w:rPr>
          <w:rFonts w:ascii="Times New Roman" w:hAnsi="Times New Roman"/>
          <w:b/>
          <w:i w:val="false"/>
          <w:color w:val="000000"/>
          <w:sz w:val="22"/>
        </w:rPr>
        <w:t>“近几年一直在积极努力寻求各种解决方案，减缓对上市公司的影响”</w:t>
      </w:r>
      <w:r>
        <w:rPr>
          <w:rFonts w:ascii="Times New Roman" w:hAnsi="Times New Roman"/>
          <w:b w:val="false"/>
          <w:i w:val="false"/>
          <w:color w:val="000000"/>
          <w:sz w:val="22"/>
        </w:rPr>
        <w:t>，但尚未提出具体剥离时间表。</w:t>
      </w:r>
    </w:p>
    <w:p>
      <w:pPr>
        <w:spacing w:before="269" w:after="269"/>
        <w:ind w:left="120"/>
        <w:jc w:val="left"/>
      </w:pPr>
      <w:r>
        <w:rPr>
          <w:rFonts w:ascii="Times New Roman" w:hAnsi="Times New Roman"/>
          <w:b/>
          <w:i w:val="false"/>
          <w:color w:val="000000"/>
          <w:sz w:val="22"/>
        </w:rPr>
        <w:t>结论：</w:t>
      </w:r>
      <w:r>
        <w:rPr>
          <w:rFonts w:ascii="Times New Roman" w:hAnsi="Times New Roman"/>
          <w:b w:val="false"/>
          <w:i w:val="false"/>
          <w:color w:val="000000"/>
          <w:sz w:val="22"/>
        </w:rPr>
        <w:t xml:space="preserve"> 2025年归母净利润的大幅下滑，本质上是</w:t>
      </w:r>
      <w:r>
        <w:rPr>
          <w:rFonts w:ascii="Times New Roman" w:hAnsi="Times New Roman"/>
          <w:b/>
          <w:i w:val="false"/>
          <w:color w:val="000000"/>
          <w:sz w:val="22"/>
        </w:rPr>
        <w:t>金融资产估值回吐+信托投资减值</w:t>
      </w:r>
      <w:r>
        <w:rPr>
          <w:rFonts w:ascii="Times New Roman" w:hAnsi="Times New Roman"/>
          <w:b w:val="false"/>
          <w:i w:val="false"/>
          <w:color w:val="000000"/>
          <w:sz w:val="22"/>
        </w:rPr>
        <w:t>的集中释放。以扣非净利润衡量，公司经营底盘仍稳；但在金地商置、杭工商信托风险彻底出清之前，利润表波动仍将是2025-2026年需要持续消化的“旧账”。</w:t>
      </w:r>
    </w:p>
    <w:p>
      <w:pPr>
        <w:spacing w:before="180" w:after="180"/>
        <w:ind w:left="120"/>
        <w:jc w:val="left"/>
      </w:pPr>
      <w:r>
        <w:rPr>
          <w:rFonts w:ascii="Times New Roman" w:hAnsi="Times New Roman"/>
          <w:b/>
          <w:i w:val="false"/>
          <w:color w:val="000000"/>
          <w:sz w:val="33"/>
        </w:rPr>
        <w:t>3.2 主业分板块经营回顾：百货托管承压、酒店起步、租赁与马消支撑</w:t>
      </w:r>
    </w:p>
    <w:p>
      <w:pPr>
        <w:spacing w:before="199" w:after="199"/>
        <w:ind w:left="120"/>
        <w:jc w:val="left"/>
      </w:pPr>
      <w:r>
        <w:rPr>
          <w:rFonts w:ascii="Times New Roman" w:hAnsi="Times New Roman"/>
          <w:b/>
          <w:i w:val="false"/>
          <w:color w:val="000000"/>
          <w:sz w:val="26"/>
        </w:rPr>
        <w:t>3.2.1 杭州百货大楼托管业务：销售疲弱、托管利润未达目标</w:t>
      </w:r>
    </w:p>
    <w:p>
      <w:pPr>
        <w:spacing w:before="269" w:after="269"/>
        <w:ind w:left="120"/>
        <w:jc w:val="left"/>
      </w:pPr>
      <w:r>
        <w:rPr>
          <w:rFonts w:ascii="Times New Roman" w:hAnsi="Times New Roman"/>
          <w:b w:val="false"/>
          <w:i w:val="false"/>
          <w:color w:val="000000"/>
          <w:sz w:val="22"/>
        </w:rPr>
        <w:t>百大集团主营业务仍为</w:t>
      </w:r>
      <w:r>
        <w:rPr>
          <w:rFonts w:ascii="Times New Roman" w:hAnsi="Times New Roman"/>
          <w:b/>
          <w:i w:val="false"/>
          <w:color w:val="000000"/>
          <w:sz w:val="22"/>
        </w:rPr>
        <w:t>商业零售和物业租赁</w:t>
      </w:r>
      <w:r>
        <w:rPr>
          <w:rFonts w:ascii="Times New Roman" w:hAnsi="Times New Roman"/>
          <w:b w:val="false"/>
          <w:i w:val="false"/>
          <w:color w:val="000000"/>
          <w:sz w:val="22"/>
        </w:rPr>
        <w:t>，核心资产为位于杭州武林广场南侧的</w:t>
      </w:r>
      <w:r>
        <w:rPr>
          <w:rFonts w:ascii="Times New Roman" w:hAnsi="Times New Roman"/>
          <w:b/>
          <w:i w:val="false"/>
          <w:color w:val="000000"/>
          <w:sz w:val="22"/>
        </w:rPr>
        <w:t>杭州百货大楼</w:t>
      </w:r>
      <w:r>
        <w:rPr>
          <w:rFonts w:ascii="Times New Roman" w:hAnsi="Times New Roman"/>
          <w:b w:val="false"/>
          <w:i w:val="false"/>
          <w:color w:val="000000"/>
          <w:sz w:val="22"/>
        </w:rPr>
        <w:t>。该资产自2008年起委托浙江银泰百货经营管理20年，每年约定</w:t>
      </w:r>
      <w:r>
        <w:rPr>
          <w:rFonts w:ascii="Times New Roman" w:hAnsi="Times New Roman"/>
          <w:b/>
          <w:i w:val="false"/>
          <w:color w:val="000000"/>
          <w:sz w:val="22"/>
        </w:rPr>
        <w:t>税前委托经营利润基数为10,083.96万元（第六至第十九管理年度）</w:t>
      </w:r>
      <w:r>
        <w:rPr>
          <w:rFonts w:ascii="Times New Roman" w:hAnsi="Times New Roman"/>
          <w:b w:val="false"/>
          <w:i w:val="false"/>
          <w:color w:val="000000"/>
          <w:sz w:val="22"/>
        </w:rPr>
        <w:t>，若当期实际利润不足，银泰需补足差额。</w:t>
      </w:r>
    </w:p>
    <w:p>
      <w:pPr>
        <w:spacing w:before="269" w:after="269"/>
        <w:ind w:left="120"/>
        <w:jc w:val="left"/>
      </w:pPr>
      <w:r>
        <w:rPr>
          <w:rFonts w:ascii="Times New Roman" w:hAnsi="Times New Roman"/>
          <w:b w:val="false"/>
          <w:i w:val="false"/>
          <w:color w:val="000000"/>
          <w:sz w:val="22"/>
        </w:rPr>
        <w:t>2025年为第十八管理年度，半年报披露：</w:t>
      </w:r>
    </w:p>
    <w:p>
      <w:pPr>
        <w:numPr>
          <w:ilvl w:val="0"/>
          <w:numId w:val="46"/>
        </w:numPr>
        <w:spacing w:before="0" w:after="0"/>
        <w:jc w:val="left"/>
      </w:pPr>
      <w:r>
        <w:rPr>
          <w:rFonts w:ascii="Times New Roman" w:hAnsi="Times New Roman"/>
          <w:b w:val="false"/>
          <w:i w:val="false"/>
          <w:color w:val="000000"/>
          <w:sz w:val="22"/>
        </w:rPr>
        <w:t>2025H1杭州百货大楼实现营业收入</w:t>
      </w:r>
      <w:r>
        <w:rPr>
          <w:rFonts w:ascii="Times New Roman" w:hAnsi="Times New Roman"/>
          <w:b/>
          <w:i w:val="false"/>
          <w:color w:val="000000"/>
          <w:sz w:val="22"/>
        </w:rPr>
        <w:t>6,673.33万元</w:t>
      </w:r>
      <w:r>
        <w:rPr>
          <w:rFonts w:ascii="Times New Roman" w:hAnsi="Times New Roman"/>
          <w:b w:val="false"/>
          <w:i w:val="false"/>
          <w:color w:val="000000"/>
          <w:sz w:val="22"/>
        </w:rPr>
        <w:t>；</w:t>
      </w:r>
    </w:p>
    <w:p>
      <w:pPr>
        <w:numPr>
          <w:ilvl w:val="0"/>
          <w:numId w:val="46"/>
        </w:numPr>
        <w:spacing w:before="0" w:after="0"/>
        <w:jc w:val="left"/>
      </w:pPr>
      <w:r>
        <w:rPr>
          <w:rFonts w:ascii="Times New Roman" w:hAnsi="Times New Roman"/>
          <w:b w:val="false"/>
          <w:i w:val="false"/>
          <w:color w:val="000000"/>
          <w:sz w:val="22"/>
        </w:rPr>
        <w:t>但**“委托经营利润总额未及目标利润要求”</w:t>
      </w:r>
      <w:r>
        <w:rPr>
          <w:rFonts w:ascii="Times New Roman" w:hAnsi="Times New Roman"/>
          <w:b/>
          <w:i w:val="false"/>
          <w:color w:val="000000"/>
          <w:sz w:val="22"/>
        </w:rPr>
        <w:t>，差额为</w:t>
      </w:r>
      <w:r>
        <w:rPr>
          <w:rFonts w:ascii="Times New Roman" w:hAnsi="Times New Roman"/>
          <w:b w:val="false"/>
          <w:i w:val="false"/>
          <w:color w:val="000000"/>
          <w:sz w:val="22"/>
        </w:rPr>
        <w:t>819.50万元**，即必须由银泰补足；</w:t>
      </w:r>
    </w:p>
    <w:p>
      <w:pPr>
        <w:numPr>
          <w:ilvl w:val="0"/>
          <w:numId w:val="46"/>
        </w:numPr>
        <w:spacing w:before="0" w:after="0"/>
        <w:jc w:val="left"/>
      </w:pPr>
      <w:r>
        <w:rPr>
          <w:rFonts w:ascii="Times New Roman" w:hAnsi="Times New Roman"/>
          <w:b w:val="false"/>
          <w:i w:val="false"/>
          <w:color w:val="000000"/>
          <w:sz w:val="22"/>
        </w:rPr>
        <w:t>同时由于委托经营利润不足，公司不再计提委托管理费，导致管理费用同比下降，但也反映出大楼销售与利润表现疲弱。</w:t>
      </w:r>
    </w:p>
    <w:p>
      <w:pPr>
        <w:spacing w:before="269" w:after="269"/>
        <w:ind w:left="120"/>
        <w:jc w:val="left"/>
      </w:pPr>
      <w:r>
        <w:rPr>
          <w:rFonts w:ascii="Times New Roman" w:hAnsi="Times New Roman"/>
          <w:b w:val="false"/>
          <w:i w:val="false"/>
          <w:color w:val="000000"/>
          <w:sz w:val="22"/>
        </w:rPr>
        <w:t>从行业环境看，2025上半年全国社会消费品零售总额同比增长5.0%，但</w:t>
      </w:r>
      <w:r>
        <w:rPr>
          <w:rFonts w:ascii="Times New Roman" w:hAnsi="Times New Roman"/>
          <w:b/>
          <w:i w:val="false"/>
          <w:color w:val="000000"/>
          <w:sz w:val="22"/>
        </w:rPr>
        <w:t>百货店零售额仅+1.2%，显著落后于便利店、超市等业态</w:t>
      </w:r>
      <w:r>
        <w:rPr>
          <w:rFonts w:ascii="Times New Roman" w:hAnsi="Times New Roman"/>
          <w:b w:val="false"/>
          <w:i w:val="false"/>
          <w:color w:val="000000"/>
          <w:sz w:val="22"/>
        </w:rPr>
        <w:t>，百货行业整体增速放缓、增长承压。</w:t>
      </w:r>
    </w:p>
    <w:p>
      <w:pPr>
        <w:spacing w:before="269" w:after="269"/>
        <w:ind w:left="120"/>
        <w:jc w:val="left"/>
      </w:pPr>
      <w:r>
        <w:rPr>
          <w:rFonts w:ascii="Times New Roman" w:hAnsi="Times New Roman"/>
          <w:b w:val="false"/>
          <w:i w:val="false"/>
          <w:color w:val="000000"/>
          <w:sz w:val="22"/>
        </w:rPr>
        <w:t>在此背景下，杭州百货大楼即便身处武林广场核心商圈，仍难以逆势增长。合作方银泰通过引入新品牌、优化购物体验等方式努力调改，但2025H1效果仍低于预期。</w:t>
      </w:r>
    </w:p>
    <w:p>
      <w:pPr>
        <w:spacing w:before="269" w:after="269"/>
        <w:ind w:left="120"/>
        <w:jc w:val="left"/>
      </w:pPr>
      <w:r>
        <w:rPr>
          <w:rFonts w:ascii="Times New Roman" w:hAnsi="Times New Roman"/>
          <w:b/>
          <w:i w:val="false"/>
          <w:color w:val="000000"/>
          <w:sz w:val="22"/>
        </w:rPr>
        <w:t>配置含义：</w:t>
      </w:r>
      <w:r>
        <w:rPr>
          <w:rFonts w:ascii="Times New Roman" w:hAnsi="Times New Roman"/>
          <w:b w:val="false"/>
          <w:i w:val="false"/>
          <w:color w:val="000000"/>
          <w:sz w:val="22"/>
        </w:rPr>
        <w:t xml:space="preserve"> 托管期内，杭州百货大楼通过利润保底与补足条款，仍可为公司贡献较为稳定的委托经营利润，只是</w:t>
      </w:r>
      <w:r>
        <w:rPr>
          <w:rFonts w:ascii="Times New Roman" w:hAnsi="Times New Roman"/>
          <w:b/>
          <w:i w:val="false"/>
          <w:color w:val="000000"/>
          <w:sz w:val="22"/>
        </w:rPr>
        <w:t>当前已从“稳增”变为“保底”逻辑</w:t>
      </w:r>
      <w:r>
        <w:rPr>
          <w:rFonts w:ascii="Times New Roman" w:hAnsi="Times New Roman"/>
          <w:b w:val="false"/>
          <w:i w:val="false"/>
          <w:color w:val="000000"/>
          <w:sz w:val="22"/>
        </w:rPr>
        <w:t>。更重要的是，随着恒隆租赁方案落地，</w:t>
      </w:r>
      <w:r>
        <w:rPr>
          <w:rFonts w:ascii="Times New Roman" w:hAnsi="Times New Roman"/>
          <w:b/>
          <w:i w:val="false"/>
          <w:color w:val="000000"/>
          <w:sz w:val="22"/>
        </w:rPr>
        <w:t>大楼的长期价值定价正从“经营托管”向“高端商业物业内在价值”切换</w:t>
      </w:r>
      <w:r>
        <w:rPr>
          <w:rFonts w:ascii="Times New Roman" w:hAnsi="Times New Roman"/>
          <w:b w:val="false"/>
          <w:i w:val="false"/>
          <w:color w:val="000000"/>
          <w:sz w:val="22"/>
        </w:rPr>
        <w:t>，2028年后的现金流折现才是真正重估主线。</w:t>
      </w:r>
    </w:p>
    <w:p>
      <w:pPr>
        <w:spacing w:before="199" w:after="199"/>
        <w:ind w:left="120"/>
        <w:jc w:val="left"/>
      </w:pPr>
      <w:r>
        <w:rPr>
          <w:rFonts w:ascii="Times New Roman" w:hAnsi="Times New Roman"/>
          <w:b/>
          <w:i w:val="false"/>
          <w:color w:val="000000"/>
          <w:sz w:val="26"/>
        </w:rPr>
        <w:t>3.2.2 杭州大酒店：从诉讼收回到自营起步，酒店周期与地段优势共振</w:t>
      </w:r>
    </w:p>
    <w:p>
      <w:pPr>
        <w:spacing w:before="269" w:after="269"/>
        <w:ind w:left="120"/>
        <w:jc w:val="left"/>
      </w:pPr>
      <w:r>
        <w:rPr>
          <w:rFonts w:ascii="Times New Roman" w:hAnsi="Times New Roman"/>
          <w:b w:val="false"/>
          <w:i w:val="false"/>
          <w:color w:val="000000"/>
          <w:sz w:val="22"/>
        </w:rPr>
        <w:t>杭州大酒店是公司另一核心自持物业。2024年公司通过诉讼收回酒店物业，并于当年9月完成清理改造、人员招聘等筹备，自营酒店于12月底重新开业。</w:t>
      </w:r>
    </w:p>
    <w:p>
      <w:pPr>
        <w:spacing w:before="269" w:after="269"/>
        <w:ind w:left="120"/>
        <w:jc w:val="left"/>
      </w:pPr>
      <w:r>
        <w:rPr>
          <w:rFonts w:ascii="Times New Roman" w:hAnsi="Times New Roman"/>
          <w:b w:val="false"/>
          <w:i w:val="false"/>
          <w:color w:val="000000"/>
          <w:sz w:val="22"/>
        </w:rPr>
        <w:t>2025H1，杭州大酒店实现营业收入</w:t>
      </w:r>
      <w:r>
        <w:rPr>
          <w:rFonts w:ascii="Times New Roman" w:hAnsi="Times New Roman"/>
          <w:b/>
          <w:i w:val="false"/>
          <w:color w:val="000000"/>
          <w:sz w:val="22"/>
        </w:rPr>
        <w:t>1,098.69万元</w:t>
      </w:r>
      <w:r>
        <w:rPr>
          <w:rFonts w:ascii="Times New Roman" w:hAnsi="Times New Roman"/>
          <w:b w:val="false"/>
          <w:i w:val="false"/>
          <w:color w:val="000000"/>
          <w:sz w:val="22"/>
        </w:rPr>
        <w:t>，并通过与主流OTA平台对接、推出下午茶、工作日早餐等产品，积极放大非房收入，内部强调在“控本增效”的同时提升服务体验。</w:t>
      </w:r>
    </w:p>
    <w:p>
      <w:pPr>
        <w:spacing w:before="269" w:after="269"/>
        <w:ind w:left="120"/>
        <w:jc w:val="left"/>
      </w:pPr>
      <w:r>
        <w:rPr>
          <w:rFonts w:ascii="Times New Roman" w:hAnsi="Times New Roman"/>
          <w:b w:val="false"/>
          <w:i w:val="false"/>
          <w:color w:val="000000"/>
          <w:sz w:val="22"/>
        </w:rPr>
        <w:t>从行业维度看，2024-2025年国内旅游与酒店业在消费升级与入境游恢复驱动下持续改善，中高端酒店入住率及房价均有上升趋势，杭州作为旅游与会展重镇，供需两端均具优势。</w:t>
      </w:r>
    </w:p>
    <w:p>
      <w:pPr>
        <w:spacing w:before="269" w:after="269"/>
        <w:ind w:left="120"/>
        <w:jc w:val="left"/>
      </w:pPr>
      <w:r>
        <w:rPr>
          <w:rFonts w:ascii="Times New Roman" w:hAnsi="Times New Roman"/>
          <w:b w:val="false"/>
          <w:i w:val="false"/>
          <w:color w:val="000000"/>
          <w:sz w:val="22"/>
        </w:rPr>
        <w:t>对百大集团而言，杭州大酒店的战略价值主要体现在三点：</w:t>
      </w:r>
    </w:p>
    <w:p>
      <w:pPr>
        <w:numPr>
          <w:ilvl w:val="0"/>
          <w:numId w:val="47"/>
        </w:numPr>
        <w:spacing w:before="0" w:after="0"/>
        <w:jc w:val="left"/>
      </w:pPr>
      <w:r>
        <w:rPr>
          <w:rFonts w:ascii="Times New Roman" w:hAnsi="Times New Roman"/>
          <w:b/>
          <w:i w:val="false"/>
          <w:color w:val="000000"/>
          <w:sz w:val="22"/>
        </w:rPr>
        <w:t>资产价值重估</w:t>
      </w:r>
      <w:r>
        <w:rPr>
          <w:rFonts w:ascii="Times New Roman" w:hAnsi="Times New Roman"/>
          <w:b w:val="false"/>
          <w:i w:val="false"/>
          <w:color w:val="000000"/>
          <w:sz w:val="22"/>
        </w:rPr>
        <w:t>：酒店物业从原先租赁模式转为自营，经营不确定性上升，但长期ROA改善空间更大；</w:t>
      </w:r>
    </w:p>
    <w:p>
      <w:pPr>
        <w:numPr>
          <w:ilvl w:val="0"/>
          <w:numId w:val="47"/>
        </w:numPr>
        <w:spacing w:before="0" w:after="0"/>
        <w:jc w:val="left"/>
      </w:pPr>
      <w:r>
        <w:rPr>
          <w:rFonts w:ascii="Times New Roman" w:hAnsi="Times New Roman"/>
          <w:b/>
          <w:i w:val="false"/>
          <w:color w:val="000000"/>
          <w:sz w:val="22"/>
        </w:rPr>
        <w:t>现金流弹性</w:t>
      </w:r>
      <w:r>
        <w:rPr>
          <w:rFonts w:ascii="Times New Roman" w:hAnsi="Times New Roman"/>
          <w:b w:val="false"/>
          <w:i w:val="false"/>
          <w:color w:val="000000"/>
          <w:sz w:val="22"/>
        </w:rPr>
        <w:t>：2025H1营收已破千万元，随着开业爬坡与酒店周期共振，2025-2026年有望持续提升，对整体营业收入的占比快速抬升；</w:t>
      </w:r>
    </w:p>
    <w:p>
      <w:pPr>
        <w:numPr>
          <w:ilvl w:val="0"/>
          <w:numId w:val="47"/>
        </w:numPr>
        <w:spacing w:before="0" w:after="0"/>
        <w:jc w:val="left"/>
      </w:pPr>
      <w:r>
        <w:rPr>
          <w:rFonts w:ascii="Times New Roman" w:hAnsi="Times New Roman"/>
          <w:b/>
          <w:i w:val="false"/>
          <w:color w:val="000000"/>
          <w:sz w:val="22"/>
        </w:rPr>
        <w:t>与恒隆项目协同潜力</w:t>
      </w:r>
      <w:r>
        <w:rPr>
          <w:rFonts w:ascii="Times New Roman" w:hAnsi="Times New Roman"/>
          <w:b w:val="false"/>
          <w:i w:val="false"/>
          <w:color w:val="000000"/>
          <w:sz w:val="22"/>
        </w:rPr>
        <w:t>：未来杭州恒隆广场及文华东方酒店开业，将进一步提升武林商圈高端酒店集聚效应，对板块资产估值形成支撑。</w:t>
      </w:r>
    </w:p>
    <w:p>
      <w:pPr>
        <w:spacing w:before="269" w:after="269"/>
        <w:ind w:left="120"/>
        <w:jc w:val="left"/>
      </w:pPr>
      <w:r>
        <w:rPr>
          <w:rFonts w:ascii="Times New Roman" w:hAnsi="Times New Roman"/>
          <w:b w:val="false"/>
          <w:i w:val="false"/>
          <w:color w:val="000000"/>
          <w:sz w:val="22"/>
        </w:rPr>
        <w:t>需要强调的是，根据公司2024年年报表述，</w:t>
      </w:r>
      <w:r>
        <w:rPr>
          <w:rFonts w:ascii="Times New Roman" w:hAnsi="Times New Roman"/>
          <w:b/>
          <w:i w:val="false"/>
          <w:color w:val="000000"/>
          <w:sz w:val="22"/>
        </w:rPr>
        <w:t>酒店盈利情况尚存在不确定性</w:t>
      </w:r>
      <w:r>
        <w:rPr>
          <w:rFonts w:ascii="Times New Roman" w:hAnsi="Times New Roman"/>
          <w:b w:val="false"/>
          <w:i w:val="false"/>
          <w:color w:val="000000"/>
          <w:sz w:val="22"/>
        </w:rPr>
        <w:t>，短期仍处于培育期，极大概率在2025-2026年内只能贡献有限利润甚至轻微亏损，更适合从“提升物业价值+改善资产组合结构”的视角看待。</w:t>
      </w:r>
    </w:p>
    <w:p>
      <w:pPr>
        <w:spacing w:before="199" w:after="199"/>
        <w:ind w:left="120"/>
        <w:jc w:val="left"/>
      </w:pPr>
      <w:r>
        <w:rPr>
          <w:rFonts w:ascii="Times New Roman" w:hAnsi="Times New Roman"/>
          <w:b/>
          <w:i w:val="false"/>
          <w:color w:val="000000"/>
          <w:sz w:val="26"/>
        </w:rPr>
        <w:t>3.2.3 物业租赁与杭州百大置业：高出租率支撑稳定租金</w:t>
      </w:r>
    </w:p>
    <w:p>
      <w:pPr>
        <w:spacing w:before="269" w:after="269"/>
        <w:ind w:left="120"/>
        <w:jc w:val="left"/>
      </w:pPr>
      <w:r>
        <w:rPr>
          <w:rFonts w:ascii="Times New Roman" w:hAnsi="Times New Roman"/>
          <w:b w:val="false"/>
          <w:i w:val="false"/>
          <w:color w:val="000000"/>
          <w:sz w:val="22"/>
        </w:rPr>
        <w:t>除百货和酒店外，公司还通过</w:t>
      </w:r>
      <w:r>
        <w:rPr>
          <w:rFonts w:ascii="Times New Roman" w:hAnsi="Times New Roman"/>
          <w:b/>
          <w:i w:val="false"/>
          <w:color w:val="000000"/>
          <w:sz w:val="22"/>
        </w:rPr>
        <w:t>湖墅南路物业、杭州收藏品市场及对杭州百大置业的30%股权</w:t>
      </w:r>
      <w:r>
        <w:rPr>
          <w:rFonts w:ascii="Times New Roman" w:hAnsi="Times New Roman"/>
          <w:b w:val="false"/>
          <w:i w:val="false"/>
          <w:color w:val="000000"/>
          <w:sz w:val="22"/>
        </w:rPr>
        <w:t>获取稳定租金与投资收益。</w:t>
      </w:r>
    </w:p>
    <w:p>
      <w:pPr>
        <w:spacing w:before="269" w:after="269"/>
        <w:ind w:left="120"/>
        <w:jc w:val="left"/>
      </w:pPr>
      <w:r>
        <w:rPr>
          <w:rFonts w:ascii="Times New Roman" w:hAnsi="Times New Roman"/>
          <w:b w:val="false"/>
          <w:i w:val="false"/>
          <w:color w:val="000000"/>
          <w:sz w:val="22"/>
        </w:rPr>
        <w:t>2025H1，其他租赁物业和收藏品市场合计实现营业收入</w:t>
      </w:r>
      <w:r>
        <w:rPr>
          <w:rFonts w:ascii="Times New Roman" w:hAnsi="Times New Roman"/>
          <w:b/>
          <w:i w:val="false"/>
          <w:color w:val="000000"/>
          <w:sz w:val="22"/>
        </w:rPr>
        <w:t>1,339.87万元</w:t>
      </w:r>
      <w:r>
        <w:rPr>
          <w:rFonts w:ascii="Times New Roman" w:hAnsi="Times New Roman"/>
          <w:b w:val="false"/>
          <w:i w:val="false"/>
          <w:color w:val="000000"/>
          <w:sz w:val="22"/>
        </w:rPr>
        <w:t>，湖墅南路物业（含收藏品市场）整体出租率</w:t>
      </w:r>
      <w:r>
        <w:rPr>
          <w:rFonts w:ascii="Times New Roman" w:hAnsi="Times New Roman"/>
          <w:b/>
          <w:i w:val="false"/>
          <w:color w:val="000000"/>
          <w:sz w:val="22"/>
        </w:rPr>
        <w:t>94%</w:t>
      </w:r>
      <w:r>
        <w:rPr>
          <w:rFonts w:ascii="Times New Roman" w:hAnsi="Times New Roman"/>
          <w:b w:val="false"/>
          <w:i w:val="false"/>
          <w:color w:val="000000"/>
          <w:sz w:val="22"/>
        </w:rPr>
        <w:t>，在“招租压力大、租金波动明显”的行业背景下保持了较高水平。</w:t>
      </w:r>
    </w:p>
    <w:p>
      <w:pPr>
        <w:spacing w:before="269" w:after="269"/>
        <w:ind w:left="120"/>
        <w:jc w:val="left"/>
      </w:pPr>
      <w:r>
        <w:rPr>
          <w:rFonts w:ascii="Times New Roman" w:hAnsi="Times New Roman"/>
          <w:b w:val="false"/>
          <w:i w:val="false"/>
          <w:color w:val="000000"/>
          <w:sz w:val="22"/>
        </w:rPr>
        <w:t>杭州百大置业旗下的</w:t>
      </w:r>
      <w:r>
        <w:rPr>
          <w:rFonts w:ascii="Times New Roman" w:hAnsi="Times New Roman"/>
          <w:b/>
          <w:i w:val="false"/>
          <w:color w:val="000000"/>
          <w:sz w:val="22"/>
        </w:rPr>
        <w:t>501城市广场</w:t>
      </w:r>
      <w:r>
        <w:rPr>
          <w:rFonts w:ascii="Times New Roman" w:hAnsi="Times New Roman"/>
          <w:b w:val="false"/>
          <w:i w:val="false"/>
          <w:color w:val="000000"/>
          <w:sz w:val="22"/>
        </w:rPr>
        <w:t>，定位“健康生活”，持续进行业态调改与写字楼招商，截至2025年6月底，商业出租率</w:t>
      </w:r>
      <w:r>
        <w:rPr>
          <w:rFonts w:ascii="Times New Roman" w:hAnsi="Times New Roman"/>
          <w:b/>
          <w:i w:val="false"/>
          <w:color w:val="000000"/>
          <w:sz w:val="22"/>
        </w:rPr>
        <w:t>97.9%</w:t>
      </w:r>
      <w:r>
        <w:rPr>
          <w:rFonts w:ascii="Times New Roman" w:hAnsi="Times New Roman"/>
          <w:b w:val="false"/>
          <w:i w:val="false"/>
          <w:color w:val="000000"/>
          <w:sz w:val="22"/>
        </w:rPr>
        <w:t>，写字楼出租率</w:t>
      </w:r>
      <w:r>
        <w:rPr>
          <w:rFonts w:ascii="Times New Roman" w:hAnsi="Times New Roman"/>
          <w:b/>
          <w:i w:val="false"/>
          <w:color w:val="000000"/>
          <w:sz w:val="22"/>
        </w:rPr>
        <w:t>92.7%</w:t>
      </w:r>
      <w:r>
        <w:rPr>
          <w:rFonts w:ascii="Times New Roman" w:hAnsi="Times New Roman"/>
          <w:b w:val="false"/>
          <w:i w:val="false"/>
          <w:color w:val="000000"/>
          <w:sz w:val="22"/>
        </w:rPr>
        <w:t>，在当前写字楼整体承压的大环境下表现亮眼。</w:t>
      </w:r>
    </w:p>
    <w:p>
      <w:pPr>
        <w:spacing w:before="269" w:after="269"/>
        <w:ind w:left="120"/>
        <w:jc w:val="left"/>
      </w:pPr>
      <w:r>
        <w:rPr>
          <w:rFonts w:ascii="Times New Roman" w:hAnsi="Times New Roman"/>
          <w:b w:val="false"/>
          <w:i w:val="false"/>
          <w:color w:val="000000"/>
          <w:sz w:val="22"/>
        </w:rPr>
        <w:t>通过权益法核算，百大置业贡献的投资收益并非爆发式增长，但在2025年前三季度整体业绩承压时，仍是支持公司扣非净利润的重要“压舱石”。</w:t>
      </w:r>
    </w:p>
    <w:p>
      <w:pPr>
        <w:spacing w:before="199" w:after="199"/>
        <w:ind w:left="120"/>
        <w:jc w:val="left"/>
      </w:pPr>
      <w:r>
        <w:rPr>
          <w:rFonts w:ascii="Times New Roman" w:hAnsi="Times New Roman"/>
          <w:b/>
          <w:i w:val="false"/>
          <w:color w:val="000000"/>
          <w:sz w:val="26"/>
        </w:rPr>
        <w:t>3.2.4 马上消费金融投资收益：隐形的利润支柱</w:t>
      </w:r>
    </w:p>
    <w:p>
      <w:pPr>
        <w:spacing w:before="269" w:after="269"/>
        <w:ind w:left="120"/>
        <w:jc w:val="left"/>
      </w:pPr>
      <w:r>
        <w:rPr>
          <w:rFonts w:ascii="Times New Roman" w:hAnsi="Times New Roman"/>
          <w:b w:val="false"/>
          <w:i w:val="false"/>
          <w:color w:val="000000"/>
          <w:sz w:val="22"/>
        </w:rPr>
        <w:t>卖方跟踪报告指出，百大集团利润主要来自</w:t>
      </w:r>
      <w:r>
        <w:rPr>
          <w:rFonts w:ascii="Times New Roman" w:hAnsi="Times New Roman"/>
          <w:b/>
          <w:i w:val="false"/>
          <w:color w:val="000000"/>
          <w:sz w:val="22"/>
        </w:rPr>
        <w:t>零售主业和持股31%的马上消费金融投资收益</w:t>
      </w:r>
      <w:r>
        <w:rPr>
          <w:rFonts w:ascii="Times New Roman" w:hAnsi="Times New Roman"/>
          <w:b w:val="false"/>
          <w:i w:val="false"/>
          <w:color w:val="000000"/>
          <w:sz w:val="22"/>
        </w:rPr>
        <w:t>。2025Q2，公司投资收益（主要来自马上消费金融）为</w:t>
      </w:r>
      <w:r>
        <w:rPr>
          <w:rFonts w:ascii="Times New Roman" w:hAnsi="Times New Roman"/>
          <w:b/>
          <w:i w:val="false"/>
          <w:color w:val="000000"/>
          <w:sz w:val="22"/>
        </w:rPr>
        <w:t>1.8亿元，同比+6.8%</w:t>
      </w:r>
      <w:r>
        <w:rPr>
          <w:rFonts w:ascii="Times New Roman" w:hAnsi="Times New Roman"/>
          <w:b w:val="false"/>
          <w:i w:val="false"/>
          <w:color w:val="000000"/>
          <w:sz w:val="22"/>
        </w:rPr>
        <w:t>；扣除投资收益后，零售主业扣非归母净利润为</w:t>
      </w:r>
      <w:r>
        <w:rPr>
          <w:rFonts w:ascii="Times New Roman" w:hAnsi="Times New Roman"/>
          <w:b/>
          <w:i w:val="false"/>
          <w:color w:val="000000"/>
          <w:sz w:val="22"/>
        </w:rPr>
        <w:t>0.97亿元，同比+6.2%</w:t>
      </w:r>
      <w:r>
        <w:rPr>
          <w:rFonts w:ascii="Times New Roman" w:hAnsi="Times New Roman"/>
          <w:b w:val="false"/>
          <w:i w:val="false"/>
          <w:color w:val="000000"/>
          <w:sz w:val="22"/>
        </w:rPr>
        <w:t>，相较一季度的同比下滑明显改善。</w:t>
      </w:r>
    </w:p>
    <w:p>
      <w:pPr>
        <w:spacing w:before="269" w:after="269"/>
        <w:ind w:left="120"/>
        <w:jc w:val="left"/>
      </w:pPr>
      <w:r>
        <w:rPr>
          <w:rFonts w:ascii="Times New Roman" w:hAnsi="Times New Roman"/>
          <w:b w:val="false"/>
          <w:i w:val="false"/>
          <w:color w:val="000000"/>
          <w:sz w:val="22"/>
        </w:rPr>
        <w:t>这意味着：</w:t>
      </w:r>
    </w:p>
    <w:p>
      <w:pPr>
        <w:numPr>
          <w:ilvl w:val="0"/>
          <w:numId w:val="48"/>
        </w:numPr>
        <w:spacing w:before="0" w:after="0"/>
        <w:jc w:val="left"/>
      </w:pPr>
      <w:r>
        <w:rPr>
          <w:rFonts w:ascii="Times New Roman" w:hAnsi="Times New Roman"/>
          <w:b w:val="false"/>
          <w:i w:val="false"/>
          <w:color w:val="000000"/>
          <w:sz w:val="22"/>
        </w:rPr>
        <w:t>经营性零售与物业板块的盈利韧性仍在；</w:t>
      </w:r>
    </w:p>
    <w:p>
      <w:pPr>
        <w:numPr>
          <w:ilvl w:val="0"/>
          <w:numId w:val="48"/>
        </w:numPr>
        <w:spacing w:before="0" w:after="0"/>
        <w:jc w:val="left"/>
      </w:pPr>
      <w:r>
        <w:rPr>
          <w:rFonts w:ascii="Times New Roman" w:hAnsi="Times New Roman"/>
          <w:b w:val="false"/>
          <w:i w:val="false"/>
          <w:color w:val="000000"/>
          <w:sz w:val="22"/>
        </w:rPr>
        <w:t>马上消费金融作为金融科技资产，在利率下行环境下仍表现出较强的盈利增长能力，是抵御传统百货、零售压力的关键一环。</w:t>
      </w:r>
    </w:p>
    <w:p>
      <w:pPr>
        <w:spacing w:before="269" w:after="269"/>
        <w:ind w:left="120"/>
        <w:jc w:val="left"/>
      </w:pPr>
      <w:r>
        <w:rPr>
          <w:rFonts w:ascii="Times New Roman" w:hAnsi="Times New Roman"/>
          <w:b w:val="false"/>
          <w:i w:val="false"/>
          <w:color w:val="000000"/>
          <w:sz w:val="22"/>
        </w:rPr>
        <w:t>在整体金融资产中，马上消费金融的权益投资与“踩雷”的房地产业务投资形成鲜明对比，</w:t>
      </w:r>
      <w:r>
        <w:rPr>
          <w:rFonts w:ascii="Times New Roman" w:hAnsi="Times New Roman"/>
          <w:b/>
          <w:i w:val="false"/>
          <w:color w:val="000000"/>
          <w:sz w:val="22"/>
        </w:rPr>
        <w:t>一正一负</w:t>
      </w:r>
      <w:r>
        <w:rPr>
          <w:rFonts w:ascii="Times New Roman" w:hAnsi="Times New Roman"/>
          <w:b w:val="false"/>
          <w:i w:val="false"/>
          <w:color w:val="000000"/>
          <w:sz w:val="22"/>
        </w:rPr>
        <w:t>的格局，是百大集团金融资产组合优化的方向性信号。</w:t>
      </w:r>
    </w:p>
    <w:p>
      <w:pPr>
        <w:spacing w:before="180" w:after="180"/>
        <w:ind w:left="120"/>
        <w:jc w:val="left"/>
      </w:pPr>
      <w:r>
        <w:rPr>
          <w:rFonts w:ascii="Times New Roman" w:hAnsi="Times New Roman"/>
          <w:b/>
          <w:i w:val="false"/>
          <w:color w:val="000000"/>
          <w:sz w:val="33"/>
        </w:rPr>
        <w:t>3.3 2025年前三季度业务板块利润结构：主业稳、投资拖累、酒店与租赁贡献提升</w:t>
      </w:r>
    </w:p>
    <w:p>
      <w:pPr>
        <w:spacing w:before="269" w:after="269"/>
        <w:ind w:left="120"/>
        <w:jc w:val="left"/>
      </w:pPr>
      <w:r>
        <w:rPr>
          <w:rFonts w:ascii="Times New Roman" w:hAnsi="Times New Roman"/>
          <w:b w:val="false"/>
          <w:i w:val="false"/>
          <w:color w:val="000000"/>
          <w:sz w:val="22"/>
        </w:rPr>
        <w:t>下图系统呈现了百大集团2025年前三季度各业务板块对净利润的贡献结构。</w:t>
      </w:r>
    </w:p>
    <w:p>
      <w:pPr>
        <w:spacing w:before="269" w:after="269"/>
        <w:ind w:left="120"/>
        <w:jc w:val="left"/>
      </w:pPr>
      <w:r>
        <w:drawing>
          <wp:inline distT="0" distB="0" distL="0" distR="0">
            <wp:extent cx="5732145" cy="3199337"/>
            <wp:effectExtent l="0" t="0" r="0" b="0"/>
            <wp:docPr id="3" name="" descr=""/>
            <wp:cNvGraphicFramePr>
              <a:graphicFrameLocks noChangeAspect="true"/>
            </wp:cNvGraphicFramePr>
            <a:graphic>
              <a:graphicData uri="http://schemas.openxmlformats.org/drawingml/2006/picture">
                <pic:pic>
                  <pic:nvPicPr>
                    <pic:cNvPr id="1" name=""/>
                    <pic:cNvPicPr/>
                  </pic:nvPicPr>
                  <pic:blipFill>
                    <a:blip r:embed="rId5"/>
                    <a:stretch>
                      <a:fillRect/>
                    </a:stretch>
                  </pic:blipFill>
                  <pic:spPr>
                    <a:xfrm>
                      <a:off x="0" y="0"/>
                      <a:ext cx="5732145" cy="3199337"/>
                    </a:xfrm>
                    <a:prstGeom prst="rect">
                      <a:avLst/>
                    </a:prstGeom>
                  </pic:spPr>
                </pic:pic>
              </a:graphicData>
            </a:graphic>
          </wp:inline>
        </w:drawing>
      </w:r>
      <w:r>
        <w:rPr>
          <w:rFonts w:ascii="Times New Roman" w:hAnsi="Times New Roman"/>
          <w:b w:val="false"/>
          <w:i w:val="false"/>
          <w:color w:val="000000"/>
          <w:sz w:val="22"/>
        </w:rPr>
        <w:t xml:space="preserve"> </w:t>
      </w:r>
      <w:r>
        <w:rPr>
          <w:rFonts w:ascii="Times New Roman" w:hAnsi="Times New Roman"/>
          <w:b/>
          <w:i w:val="false"/>
          <w:color w:val="000000"/>
          <w:sz w:val="22"/>
        </w:rPr>
        <w:t>图2：百大集团2025年前三季度各业务板块利润贡献占比</w:t>
      </w:r>
    </w:p>
    <w:p>
      <w:pPr>
        <w:spacing w:before="269" w:after="269"/>
        <w:ind w:left="120"/>
        <w:jc w:val="left"/>
      </w:pPr>
      <w:r>
        <w:rPr>
          <w:rFonts w:ascii="Times New Roman" w:hAnsi="Times New Roman"/>
          <w:b w:val="false"/>
          <w:i w:val="false"/>
          <w:color w:val="000000"/>
          <w:sz w:val="22"/>
        </w:rPr>
        <w:t>图2所示测算结果（基于管理层披露及公开数据的估算）显示：</w:t>
      </w:r>
    </w:p>
    <w:p>
      <w:pPr>
        <w:numPr>
          <w:ilvl w:val="0"/>
          <w:numId w:val="49"/>
        </w:numPr>
        <w:spacing w:before="0" w:after="0"/>
        <w:jc w:val="left"/>
      </w:pPr>
      <w:r>
        <w:rPr>
          <w:rFonts w:ascii="Times New Roman" w:hAnsi="Times New Roman"/>
          <w:b w:val="false"/>
          <w:i w:val="false"/>
          <w:color w:val="000000"/>
          <w:sz w:val="22"/>
        </w:rPr>
        <w:t>**杭州百货大楼托管业务贡献约88.5%**的利润，是绝对核心；</w:t>
      </w:r>
    </w:p>
    <w:p>
      <w:pPr>
        <w:numPr>
          <w:ilvl w:val="0"/>
          <w:numId w:val="49"/>
        </w:numPr>
        <w:spacing w:before="0" w:after="0"/>
        <w:jc w:val="left"/>
      </w:pPr>
      <w:r>
        <w:rPr>
          <w:rFonts w:ascii="Times New Roman" w:hAnsi="Times New Roman"/>
          <w:b/>
          <w:i w:val="false"/>
          <w:color w:val="000000"/>
          <w:sz w:val="22"/>
        </w:rPr>
        <w:t>杭州大酒店与租赁业务分别贡献约15.8%和23.5%</w:t>
      </w:r>
      <w:r>
        <w:rPr>
          <w:rFonts w:ascii="Times New Roman" w:hAnsi="Times New Roman"/>
          <w:b w:val="false"/>
          <w:i w:val="false"/>
          <w:color w:val="000000"/>
          <w:sz w:val="22"/>
        </w:rPr>
        <w:t>，在总盘子不大的前提下，边际贡献度不低；</w:t>
      </w:r>
    </w:p>
    <w:p>
      <w:pPr>
        <w:numPr>
          <w:ilvl w:val="0"/>
          <w:numId w:val="49"/>
        </w:numPr>
        <w:spacing w:before="0" w:after="0"/>
        <w:jc w:val="left"/>
      </w:pPr>
      <w:r>
        <w:rPr>
          <w:rFonts w:ascii="Times New Roman" w:hAnsi="Times New Roman"/>
          <w:b/>
          <w:i w:val="false"/>
          <w:color w:val="000000"/>
          <w:sz w:val="22"/>
        </w:rPr>
        <w:t>金融投资板块贡献为-27.8%</w:t>
      </w:r>
      <w:r>
        <w:rPr>
          <w:rFonts w:ascii="Times New Roman" w:hAnsi="Times New Roman"/>
          <w:b w:val="false"/>
          <w:i w:val="false"/>
          <w:color w:val="000000"/>
          <w:sz w:val="22"/>
        </w:rPr>
        <w:t>，即对整体利润形成净拖累。</w:t>
      </w:r>
    </w:p>
    <w:p>
      <w:pPr>
        <w:spacing w:before="269" w:after="269"/>
        <w:ind w:left="120"/>
        <w:jc w:val="left"/>
      </w:pPr>
      <w:r>
        <w:rPr>
          <w:rFonts w:ascii="Times New Roman" w:hAnsi="Times New Roman"/>
          <w:b w:val="false"/>
          <w:i w:val="false"/>
          <w:color w:val="000000"/>
          <w:sz w:val="22"/>
        </w:rPr>
        <w:t>需要注意，合计贡献占比并非严格等于100%，因为酒店和租赁贡献以营收作为Proxy，金融板块为净值，主要用于</w:t>
      </w:r>
      <w:r>
        <w:rPr>
          <w:rFonts w:ascii="Times New Roman" w:hAnsi="Times New Roman"/>
          <w:b/>
          <w:i w:val="false"/>
          <w:color w:val="000000"/>
          <w:sz w:val="22"/>
        </w:rPr>
        <w:t>结构性分析</w:t>
      </w:r>
      <w:r>
        <w:rPr>
          <w:rFonts w:ascii="Times New Roman" w:hAnsi="Times New Roman"/>
          <w:b w:val="false"/>
          <w:i w:val="false"/>
          <w:color w:val="000000"/>
          <w:sz w:val="22"/>
        </w:rPr>
        <w:t>。</w:t>
      </w:r>
    </w:p>
    <w:p>
      <w:pPr>
        <w:spacing w:before="269" w:after="269"/>
        <w:ind w:left="120"/>
        <w:jc w:val="left"/>
      </w:pPr>
      <w:r>
        <w:rPr>
          <w:rFonts w:ascii="Times New Roman" w:hAnsi="Times New Roman"/>
          <w:b w:val="false"/>
          <w:i w:val="false"/>
          <w:color w:val="000000"/>
          <w:sz w:val="22"/>
        </w:rPr>
        <w:t>从结构上看，百大集团</w:t>
      </w:r>
      <w:r>
        <w:rPr>
          <w:rFonts w:ascii="Times New Roman" w:hAnsi="Times New Roman"/>
          <w:b/>
          <w:i w:val="false"/>
          <w:color w:val="000000"/>
          <w:sz w:val="22"/>
        </w:rPr>
        <w:t>经营性业务与金融投资呈“跷跷板”效应</w:t>
      </w:r>
      <w:r>
        <w:rPr>
          <w:rFonts w:ascii="Times New Roman" w:hAnsi="Times New Roman"/>
          <w:b w:val="false"/>
          <w:i w:val="false"/>
          <w:color w:val="000000"/>
          <w:sz w:val="22"/>
        </w:rPr>
        <w:t>：前者提供稳定现金流和稳健盈利，后者在2024年大幅增厚利润后，2025年反向冲击利润表。对于2025-2026年的投资判断，更看重的是</w:t>
      </w:r>
      <w:r>
        <w:rPr>
          <w:rFonts w:ascii="Times New Roman" w:hAnsi="Times New Roman"/>
          <w:b/>
          <w:i w:val="false"/>
          <w:color w:val="000000"/>
          <w:sz w:val="22"/>
        </w:rPr>
        <w:t>前者的持续性与后者风险的出清速度</w:t>
      </w:r>
      <w:r>
        <w:rPr>
          <w:rFonts w:ascii="Times New Roman" w:hAnsi="Times New Roman"/>
          <w:b w:val="false"/>
          <w:i w:val="false"/>
          <w:color w:val="000000"/>
          <w:sz w:val="22"/>
        </w:rPr>
        <w:t>。</w:t>
      </w:r>
    </w:p>
    <w:p>
      <w:pPr>
        <w:spacing w:before="180" w:after="180"/>
        <w:ind w:left="120"/>
        <w:jc w:val="left"/>
      </w:pPr>
      <w:r>
        <w:rPr>
          <w:rFonts w:ascii="Times New Roman" w:hAnsi="Times New Roman"/>
          <w:b/>
          <w:i w:val="false"/>
          <w:color w:val="000000"/>
          <w:sz w:val="33"/>
        </w:rPr>
        <w:t>3.4 管理层前瞻与2025-2026年关键看点</w:t>
      </w:r>
    </w:p>
    <w:p>
      <w:pPr>
        <w:spacing w:before="199" w:after="199"/>
        <w:ind w:left="120"/>
        <w:jc w:val="left"/>
      </w:pPr>
      <w:r>
        <w:rPr>
          <w:rFonts w:ascii="Times New Roman" w:hAnsi="Times New Roman"/>
          <w:b/>
          <w:i w:val="false"/>
          <w:color w:val="000000"/>
          <w:sz w:val="26"/>
        </w:rPr>
        <w:t>3.4.1 传统业务：托管期内稳住利润，2028年恒隆租约打开重估空间</w:t>
      </w:r>
    </w:p>
    <w:p>
      <w:pPr>
        <w:spacing w:before="269" w:after="269"/>
        <w:ind w:left="120"/>
        <w:jc w:val="left"/>
      </w:pPr>
      <w:r>
        <w:rPr>
          <w:rFonts w:ascii="Times New Roman" w:hAnsi="Times New Roman"/>
          <w:b w:val="false"/>
          <w:i w:val="false"/>
          <w:color w:val="000000"/>
          <w:sz w:val="22"/>
        </w:rPr>
        <w:t>管理层在2024年年报及2025年半年报中多次重申，对于杭州百货大楼托管业务，将继续加强与银泰百货协作，“积极落实委托管理中的各项事务，共同提升商场经营效益，推动委托管理协议顺利履行”。</w:t>
      </w:r>
    </w:p>
    <w:p>
      <w:pPr>
        <w:spacing w:before="269" w:after="269"/>
        <w:ind w:left="120"/>
        <w:jc w:val="left"/>
      </w:pPr>
      <w:r>
        <w:rPr>
          <w:rFonts w:ascii="Times New Roman" w:hAnsi="Times New Roman"/>
          <w:b w:val="false"/>
          <w:i w:val="false"/>
          <w:color w:val="000000"/>
          <w:sz w:val="22"/>
        </w:rPr>
        <w:t>更重要的是，2025年7月公司与恒隆旗下</w:t>
      </w:r>
      <w:r>
        <w:rPr>
          <w:rFonts w:ascii="Times New Roman" w:hAnsi="Times New Roman"/>
          <w:b/>
          <w:i w:val="false"/>
          <w:color w:val="000000"/>
          <w:sz w:val="22"/>
        </w:rPr>
        <w:t>Hang Lung Business Operation (HK) Limited</w:t>
      </w:r>
      <w:r>
        <w:rPr>
          <w:rFonts w:ascii="Times New Roman" w:hAnsi="Times New Roman"/>
          <w:b w:val="false"/>
          <w:i w:val="false"/>
          <w:color w:val="000000"/>
          <w:sz w:val="22"/>
        </w:rPr>
        <w:t>签署《杭州百货大楼租赁合同》：</w:t>
      </w:r>
    </w:p>
    <w:p>
      <w:pPr>
        <w:numPr>
          <w:ilvl w:val="0"/>
          <w:numId w:val="50"/>
        </w:numPr>
        <w:spacing w:before="0" w:after="0"/>
        <w:jc w:val="left"/>
      </w:pPr>
      <w:r>
        <w:rPr>
          <w:rFonts w:ascii="Times New Roman" w:hAnsi="Times New Roman"/>
          <w:b w:val="false"/>
          <w:i w:val="false"/>
          <w:color w:val="000000"/>
          <w:sz w:val="22"/>
        </w:rPr>
        <w:t>租赁期限自</w:t>
      </w:r>
      <w:r>
        <w:rPr>
          <w:rFonts w:ascii="Times New Roman" w:hAnsi="Times New Roman"/>
          <w:b/>
          <w:i w:val="false"/>
          <w:color w:val="000000"/>
          <w:sz w:val="22"/>
        </w:rPr>
        <w:t>2028年4月1日（暂定）起20年</w:t>
      </w:r>
      <w:r>
        <w:rPr>
          <w:rFonts w:ascii="Times New Roman" w:hAnsi="Times New Roman"/>
          <w:b w:val="false"/>
          <w:i w:val="false"/>
          <w:color w:val="000000"/>
          <w:sz w:val="22"/>
        </w:rPr>
        <w:t>；</w:t>
      </w:r>
    </w:p>
    <w:p>
      <w:pPr>
        <w:numPr>
          <w:ilvl w:val="0"/>
          <w:numId w:val="50"/>
        </w:numPr>
        <w:spacing w:before="0" w:after="0"/>
        <w:jc w:val="left"/>
      </w:pPr>
      <w:r>
        <w:rPr>
          <w:rFonts w:ascii="Times New Roman" w:hAnsi="Times New Roman"/>
          <w:b w:val="false"/>
          <w:i w:val="false"/>
          <w:color w:val="000000"/>
          <w:sz w:val="22"/>
        </w:rPr>
        <w:t>租金标准为</w:t>
      </w:r>
      <w:r>
        <w:rPr>
          <w:rFonts w:ascii="Times New Roman" w:hAnsi="Times New Roman"/>
          <w:b/>
          <w:i w:val="false"/>
          <w:color w:val="000000"/>
          <w:sz w:val="22"/>
        </w:rPr>
        <w:t>3,750万元/季度，即1.5亿元/年</w:t>
      </w:r>
      <w:r>
        <w:rPr>
          <w:rFonts w:ascii="Times New Roman" w:hAnsi="Times New Roman"/>
          <w:b w:val="false"/>
          <w:i w:val="false"/>
          <w:color w:val="000000"/>
          <w:sz w:val="22"/>
        </w:rPr>
        <w:t>；</w:t>
      </w:r>
    </w:p>
    <w:p>
      <w:pPr>
        <w:numPr>
          <w:ilvl w:val="0"/>
          <w:numId w:val="50"/>
        </w:numPr>
        <w:spacing w:before="0" w:after="0"/>
        <w:jc w:val="left"/>
      </w:pPr>
      <w:r>
        <w:rPr>
          <w:rFonts w:ascii="Times New Roman" w:hAnsi="Times New Roman"/>
          <w:b w:val="false"/>
          <w:i w:val="false"/>
          <w:color w:val="000000"/>
          <w:sz w:val="22"/>
        </w:rPr>
        <w:t>每三年在前一周期基础上</w:t>
      </w:r>
      <w:r>
        <w:rPr>
          <w:rFonts w:ascii="Times New Roman" w:hAnsi="Times New Roman"/>
          <w:b/>
          <w:i w:val="false"/>
          <w:color w:val="000000"/>
          <w:sz w:val="22"/>
        </w:rPr>
        <w:t>递增4.5%</w:t>
      </w:r>
      <w:r>
        <w:rPr>
          <w:rFonts w:ascii="Times New Roman" w:hAnsi="Times New Roman"/>
          <w:b w:val="false"/>
          <w:i w:val="false"/>
          <w:color w:val="000000"/>
          <w:sz w:val="22"/>
        </w:rPr>
        <w:t>；</w:t>
      </w:r>
    </w:p>
    <w:p>
      <w:pPr>
        <w:numPr>
          <w:ilvl w:val="0"/>
          <w:numId w:val="50"/>
        </w:numPr>
        <w:spacing w:before="0" w:after="0"/>
        <w:jc w:val="left"/>
      </w:pPr>
      <w:r>
        <w:rPr>
          <w:rFonts w:ascii="Times New Roman" w:hAnsi="Times New Roman"/>
          <w:b w:val="false"/>
          <w:i w:val="false"/>
          <w:color w:val="000000"/>
          <w:sz w:val="22"/>
        </w:rPr>
        <w:t>恒隆地产为承租方付款义务提供</w:t>
      </w:r>
      <w:r>
        <w:rPr>
          <w:rFonts w:ascii="Times New Roman" w:hAnsi="Times New Roman"/>
          <w:b/>
          <w:i w:val="false"/>
          <w:color w:val="000000"/>
          <w:sz w:val="22"/>
        </w:rPr>
        <w:t>最高担保金额7.635亿元</w:t>
      </w:r>
      <w:r>
        <w:rPr>
          <w:rFonts w:ascii="Times New Roman" w:hAnsi="Times New Roman"/>
          <w:b w:val="false"/>
          <w:i w:val="false"/>
          <w:color w:val="000000"/>
          <w:sz w:val="22"/>
        </w:rPr>
        <w:t>的担保，担保期限覆盖合同期及届满后两年。</w:t>
      </w:r>
    </w:p>
    <w:p>
      <w:pPr>
        <w:spacing w:before="269" w:after="269"/>
        <w:ind w:left="120"/>
        <w:jc w:val="left"/>
      </w:pPr>
      <w:r>
        <w:rPr>
          <w:rFonts w:ascii="Times New Roman" w:hAnsi="Times New Roman"/>
          <w:b w:val="false"/>
          <w:i w:val="false"/>
          <w:color w:val="000000"/>
          <w:sz w:val="22"/>
        </w:rPr>
        <w:t>这一安排意味着：</w:t>
      </w:r>
    </w:p>
    <w:p>
      <w:pPr>
        <w:numPr>
          <w:ilvl w:val="0"/>
          <w:numId w:val="51"/>
        </w:numPr>
        <w:spacing w:before="0" w:after="0"/>
        <w:jc w:val="left"/>
      </w:pPr>
      <w:r>
        <w:rPr>
          <w:rFonts w:ascii="Times New Roman" w:hAnsi="Times New Roman"/>
          <w:b w:val="false"/>
          <w:i w:val="false"/>
          <w:color w:val="000000"/>
          <w:sz w:val="22"/>
        </w:rPr>
        <w:t>托管期内（至2028年2月）公司仍有委托经营利润+利润补足的兜底机制；</w:t>
      </w:r>
    </w:p>
    <w:p>
      <w:pPr>
        <w:numPr>
          <w:ilvl w:val="0"/>
          <w:numId w:val="51"/>
        </w:numPr>
        <w:spacing w:before="0" w:after="0"/>
        <w:jc w:val="left"/>
      </w:pPr>
      <w:r>
        <w:rPr>
          <w:rFonts w:ascii="Times New Roman" w:hAnsi="Times New Roman"/>
          <w:b w:val="false"/>
          <w:i w:val="false"/>
          <w:color w:val="000000"/>
          <w:sz w:val="22"/>
        </w:rPr>
        <w:t>托管期后，大楼价值将锚定**“恒隆高端商业项目扩展部分+1.5亿元年租金（递增）+恒隆担保”**重新定价；</w:t>
      </w:r>
    </w:p>
    <w:p>
      <w:pPr>
        <w:numPr>
          <w:ilvl w:val="0"/>
          <w:numId w:val="51"/>
        </w:numPr>
        <w:spacing w:before="0" w:after="0"/>
        <w:jc w:val="left"/>
      </w:pPr>
      <w:r>
        <w:rPr>
          <w:rFonts w:ascii="Times New Roman" w:hAnsi="Times New Roman"/>
          <w:b w:val="false"/>
          <w:i w:val="false"/>
          <w:color w:val="000000"/>
          <w:sz w:val="22"/>
        </w:rPr>
        <w:t>对百大集团而言，2028年起将进入**“重资产长期租金收益期”**，EPS稳定性显著提升，估值体系可逐步向“类REITs高分红+低波动”转型。</w:t>
      </w:r>
    </w:p>
    <w:p>
      <w:pPr>
        <w:spacing w:before="269" w:after="269"/>
        <w:ind w:left="120"/>
        <w:jc w:val="left"/>
      </w:pPr>
      <w:r>
        <w:rPr>
          <w:rFonts w:ascii="Times New Roman" w:hAnsi="Times New Roman"/>
          <w:b w:val="false"/>
          <w:i w:val="false"/>
          <w:color w:val="000000"/>
          <w:sz w:val="22"/>
        </w:rPr>
        <w:t>因此，</w:t>
      </w:r>
      <w:r>
        <w:rPr>
          <w:rFonts w:ascii="Times New Roman" w:hAnsi="Times New Roman"/>
          <w:b/>
          <w:i w:val="false"/>
          <w:color w:val="000000"/>
          <w:sz w:val="22"/>
        </w:rPr>
        <w:t>2025-2026年更多是这一长期价值重估逻辑的“布局期”，而非兑现期</w:t>
      </w:r>
      <w:r>
        <w:rPr>
          <w:rFonts w:ascii="Times New Roman" w:hAnsi="Times New Roman"/>
          <w:b w:val="false"/>
          <w:i w:val="false"/>
          <w:color w:val="000000"/>
          <w:sz w:val="22"/>
        </w:rPr>
        <w:t>。</w:t>
      </w:r>
    </w:p>
    <w:p>
      <w:pPr>
        <w:spacing w:before="199" w:after="199"/>
        <w:ind w:left="120"/>
        <w:jc w:val="left"/>
      </w:pPr>
      <w:r>
        <w:rPr>
          <w:rFonts w:ascii="Times New Roman" w:hAnsi="Times New Roman"/>
          <w:b/>
          <w:i w:val="false"/>
          <w:color w:val="000000"/>
          <w:sz w:val="26"/>
        </w:rPr>
        <w:t>3.4.2 酒店与物业租赁：抓住杭州中高端酒店与存量更新的周期窗口</w:t>
      </w:r>
    </w:p>
    <w:p>
      <w:pPr>
        <w:spacing w:before="269" w:after="269"/>
        <w:ind w:left="120"/>
        <w:jc w:val="left"/>
      </w:pPr>
      <w:r>
        <w:rPr>
          <w:rFonts w:ascii="Times New Roman" w:hAnsi="Times New Roman"/>
          <w:b w:val="false"/>
          <w:i w:val="false"/>
          <w:color w:val="000000"/>
          <w:sz w:val="22"/>
        </w:rPr>
        <w:t>在经营计划中，公司明确将杭州大酒店视作自营转型的重要项目，未来将通过拓宽营销渠道、加强线上获客、优化产品结构等举措摸索合适的经营定位和管理模式。</w:t>
      </w:r>
    </w:p>
    <w:p>
      <w:pPr>
        <w:spacing w:before="269" w:after="269"/>
        <w:ind w:left="120"/>
        <w:jc w:val="left"/>
      </w:pPr>
      <w:r>
        <w:rPr>
          <w:rFonts w:ascii="Times New Roman" w:hAnsi="Times New Roman"/>
          <w:b w:val="false"/>
          <w:i w:val="false"/>
          <w:color w:val="000000"/>
          <w:sz w:val="22"/>
        </w:rPr>
        <w:t>结合行业趋势：</w:t>
      </w:r>
    </w:p>
    <w:p>
      <w:pPr>
        <w:numPr>
          <w:ilvl w:val="0"/>
          <w:numId w:val="52"/>
        </w:numPr>
        <w:spacing w:before="0" w:after="0"/>
        <w:jc w:val="left"/>
      </w:pPr>
      <w:r>
        <w:rPr>
          <w:rFonts w:ascii="Times New Roman" w:hAnsi="Times New Roman"/>
          <w:b w:val="false"/>
          <w:i w:val="false"/>
          <w:color w:val="000000"/>
          <w:sz w:val="22"/>
        </w:rPr>
        <w:t>杭州在2024年高档及以上品牌酒店客房数增速位列全国TOP5，增速达</w:t>
      </w:r>
      <w:r>
        <w:rPr>
          <w:rFonts w:ascii="Times New Roman" w:hAnsi="Times New Roman"/>
          <w:b/>
          <w:i w:val="false"/>
          <w:color w:val="000000"/>
          <w:sz w:val="22"/>
        </w:rPr>
        <w:t>15%</w:t>
      </w:r>
      <w:r>
        <w:rPr>
          <w:rFonts w:ascii="Times New Roman" w:hAnsi="Times New Roman"/>
          <w:b w:val="false"/>
          <w:i w:val="false"/>
          <w:color w:val="000000"/>
          <w:sz w:val="22"/>
        </w:rPr>
        <w:t>，中高端酒店供给加速；</w:t>
      </w:r>
    </w:p>
    <w:p>
      <w:pPr>
        <w:numPr>
          <w:ilvl w:val="0"/>
          <w:numId w:val="52"/>
        </w:numPr>
        <w:spacing w:before="0" w:after="0"/>
        <w:jc w:val="left"/>
      </w:pPr>
      <w:r>
        <w:rPr>
          <w:rFonts w:ascii="Times New Roman" w:hAnsi="Times New Roman"/>
          <w:b w:val="false"/>
          <w:i w:val="false"/>
          <w:color w:val="000000"/>
          <w:sz w:val="22"/>
        </w:rPr>
        <w:t>2026-2030年二线城市高档及以上酒店潜在待翻新改造数量持续上升，酒店存量改造投资进入窗口期。</w:t>
      </w:r>
    </w:p>
    <w:p>
      <w:pPr>
        <w:spacing w:before="269" w:after="269"/>
        <w:ind w:left="120"/>
        <w:jc w:val="left"/>
      </w:pPr>
      <w:r>
        <w:rPr>
          <w:rFonts w:ascii="Times New Roman" w:hAnsi="Times New Roman"/>
          <w:b w:val="false"/>
          <w:i w:val="false"/>
          <w:color w:val="000000"/>
          <w:sz w:val="22"/>
        </w:rPr>
        <w:t>对百大集团而言，杭州大酒店与湖墅南路物业等项目的升级改造，不仅可以提高租金水平与入住率，更能在**“城市更新+酒店资产升值”的大趋势下率先占位**。501城市广场高出租率与持续调改，也将通过联营与股权投资收益为公司带来中期稳健回报。</w:t>
      </w:r>
    </w:p>
    <w:p>
      <w:pPr>
        <w:spacing w:before="199" w:after="199"/>
        <w:ind w:left="120"/>
        <w:jc w:val="left"/>
      </w:pPr>
      <w:r>
        <w:rPr>
          <w:rFonts w:ascii="Times New Roman" w:hAnsi="Times New Roman"/>
          <w:b/>
          <w:i w:val="false"/>
          <w:color w:val="000000"/>
          <w:sz w:val="26"/>
        </w:rPr>
        <w:t>3.4.3 金融投资：从“激进增厚”回归“稳健求存”，风险出清节奏是关键变量</w:t>
      </w:r>
    </w:p>
    <w:p>
      <w:pPr>
        <w:spacing w:before="269" w:after="269"/>
        <w:ind w:left="120"/>
        <w:jc w:val="left"/>
      </w:pPr>
      <w:r>
        <w:rPr>
          <w:rFonts w:ascii="Times New Roman" w:hAnsi="Times New Roman"/>
          <w:b w:val="false"/>
          <w:i w:val="false"/>
          <w:color w:val="000000"/>
          <w:sz w:val="22"/>
        </w:rPr>
        <w:t>在2024年，百大集团通过大规模权益投资、公允价值变动收益实现了显著盈利增厚；但2025年前三季度的剧烈回吐显示，</w:t>
      </w:r>
      <w:r>
        <w:rPr>
          <w:rFonts w:ascii="Times New Roman" w:hAnsi="Times New Roman"/>
          <w:b/>
          <w:i w:val="false"/>
          <w:color w:val="000000"/>
          <w:sz w:val="22"/>
        </w:rPr>
        <w:t>“激进配置+地产相关资产”模式在当前周期下并不匹配公司“稳中求进”的整体定位</w:t>
      </w:r>
      <w:r>
        <w:rPr>
          <w:rFonts w:ascii="Times New Roman" w:hAnsi="Times New Roman"/>
          <w:b w:val="false"/>
          <w:i w:val="false"/>
          <w:color w:val="000000"/>
          <w:sz w:val="22"/>
        </w:rPr>
        <w:t>。</w:t>
      </w:r>
    </w:p>
    <w:p>
      <w:pPr>
        <w:spacing w:before="269" w:after="269"/>
        <w:ind w:left="120"/>
        <w:jc w:val="left"/>
      </w:pPr>
      <w:r>
        <w:rPr>
          <w:rFonts w:ascii="Times New Roman" w:hAnsi="Times New Roman"/>
          <w:b w:val="false"/>
          <w:i w:val="false"/>
          <w:color w:val="000000"/>
          <w:sz w:val="22"/>
        </w:rPr>
        <w:t>从2025H1披露和三季报说明会表态看，管理层已意识到风险，并开始收缩：</w:t>
      </w:r>
    </w:p>
    <w:p>
      <w:pPr>
        <w:numPr>
          <w:ilvl w:val="0"/>
          <w:numId w:val="53"/>
        </w:numPr>
        <w:spacing w:before="0" w:after="0"/>
        <w:jc w:val="left"/>
      </w:pPr>
      <w:r>
        <w:rPr>
          <w:rFonts w:ascii="Times New Roman" w:hAnsi="Times New Roman"/>
          <w:b w:val="false"/>
          <w:i w:val="false"/>
          <w:color w:val="000000"/>
          <w:sz w:val="22"/>
        </w:rPr>
        <w:t>委托理财总规模仍控制在股东大会授权的</w:t>
      </w:r>
      <w:r>
        <w:rPr>
          <w:rFonts w:ascii="Times New Roman" w:hAnsi="Times New Roman"/>
          <w:b/>
          <w:i w:val="false"/>
          <w:color w:val="000000"/>
          <w:sz w:val="22"/>
        </w:rPr>
        <w:t>15亿元</w:t>
      </w:r>
      <w:r>
        <w:rPr>
          <w:rFonts w:ascii="Times New Roman" w:hAnsi="Times New Roman"/>
          <w:b w:val="false"/>
          <w:i w:val="false"/>
          <w:color w:val="000000"/>
          <w:sz w:val="22"/>
        </w:rPr>
        <w:t>以内，且全部投向安全性、流动性高的银行理财、信托计划等产品，收益率适度回落但风险可控；</w:t>
      </w:r>
    </w:p>
    <w:p>
      <w:pPr>
        <w:numPr>
          <w:ilvl w:val="0"/>
          <w:numId w:val="53"/>
        </w:numPr>
        <w:spacing w:before="0" w:after="0"/>
        <w:jc w:val="left"/>
      </w:pPr>
      <w:r>
        <w:rPr>
          <w:rFonts w:ascii="Times New Roman" w:hAnsi="Times New Roman"/>
          <w:b w:val="false"/>
          <w:i w:val="false"/>
          <w:color w:val="000000"/>
          <w:sz w:val="22"/>
        </w:rPr>
        <w:t>杭工商信托等地产相关股权投资已计提较大公允价值损失；</w:t>
      </w:r>
    </w:p>
    <w:p>
      <w:pPr>
        <w:numPr>
          <w:ilvl w:val="0"/>
          <w:numId w:val="53"/>
        </w:numPr>
        <w:spacing w:before="0" w:after="0"/>
        <w:jc w:val="left"/>
      </w:pPr>
      <w:r>
        <w:rPr>
          <w:rFonts w:ascii="Times New Roman" w:hAnsi="Times New Roman"/>
          <w:b w:val="false"/>
          <w:i w:val="false"/>
          <w:color w:val="000000"/>
          <w:sz w:val="22"/>
        </w:rPr>
        <w:t>对金地商置、杭工商信托的未来处置方案虽未给出时间表，但“积极努力寻求解决方案”已成为对外统一口径。</w:t>
      </w:r>
    </w:p>
    <w:p>
      <w:pPr>
        <w:spacing w:before="269" w:after="269"/>
        <w:ind w:left="120"/>
        <w:jc w:val="left"/>
      </w:pPr>
      <w:r>
        <w:rPr>
          <w:rFonts w:ascii="Times New Roman" w:hAnsi="Times New Roman"/>
          <w:b w:val="false"/>
          <w:i w:val="false"/>
          <w:color w:val="000000"/>
          <w:sz w:val="22"/>
        </w:rPr>
        <w:t>对投资者而言，2025-2026年的关键在于：</w:t>
      </w:r>
    </w:p>
    <w:p>
      <w:pPr>
        <w:numPr>
          <w:ilvl w:val="0"/>
          <w:numId w:val="54"/>
        </w:numPr>
        <w:spacing w:before="0" w:after="0"/>
        <w:jc w:val="left"/>
      </w:pPr>
      <w:r>
        <w:rPr>
          <w:rFonts w:ascii="Times New Roman" w:hAnsi="Times New Roman"/>
          <w:b w:val="false"/>
          <w:i w:val="false"/>
          <w:color w:val="000000"/>
          <w:sz w:val="22"/>
        </w:rPr>
        <w:t>金地商置与杭工商信托的</w:t>
      </w:r>
      <w:r>
        <w:rPr>
          <w:rFonts w:ascii="Times New Roman" w:hAnsi="Times New Roman"/>
          <w:b/>
          <w:i w:val="false"/>
          <w:color w:val="000000"/>
          <w:sz w:val="22"/>
        </w:rPr>
        <w:t>风险出清节奏</w:t>
      </w:r>
      <w:r>
        <w:rPr>
          <w:rFonts w:ascii="Times New Roman" w:hAnsi="Times New Roman"/>
          <w:b w:val="false"/>
          <w:i w:val="false"/>
          <w:color w:val="000000"/>
          <w:sz w:val="22"/>
        </w:rPr>
        <w:t>——是一次性大额减值，还是分期消化；</w:t>
      </w:r>
    </w:p>
    <w:p>
      <w:pPr>
        <w:numPr>
          <w:ilvl w:val="0"/>
          <w:numId w:val="54"/>
        </w:numPr>
        <w:spacing w:before="0" w:after="0"/>
        <w:jc w:val="left"/>
      </w:pPr>
      <w:r>
        <w:rPr>
          <w:rFonts w:ascii="Times New Roman" w:hAnsi="Times New Roman"/>
          <w:b w:val="false"/>
          <w:i w:val="false"/>
          <w:color w:val="000000"/>
          <w:sz w:val="22"/>
        </w:rPr>
        <w:t>公司能否将金融资产配置重心持续向</w:t>
      </w:r>
      <w:r>
        <w:rPr>
          <w:rFonts w:ascii="Times New Roman" w:hAnsi="Times New Roman"/>
          <w:b/>
          <w:i w:val="false"/>
          <w:color w:val="000000"/>
          <w:sz w:val="22"/>
        </w:rPr>
        <w:t>杭银等高质量金融股+稳健理财+马消等高ROE金融科技资产</w:t>
      </w:r>
      <w:r>
        <w:rPr>
          <w:rFonts w:ascii="Times New Roman" w:hAnsi="Times New Roman"/>
          <w:b w:val="false"/>
          <w:i w:val="false"/>
          <w:color w:val="000000"/>
          <w:sz w:val="22"/>
        </w:rPr>
        <w:t>倾斜，减少地产与高波动资产敞口；</w:t>
      </w:r>
    </w:p>
    <w:p>
      <w:pPr>
        <w:numPr>
          <w:ilvl w:val="0"/>
          <w:numId w:val="54"/>
        </w:numPr>
        <w:spacing w:before="0" w:after="0"/>
        <w:jc w:val="left"/>
      </w:pPr>
      <w:r>
        <w:rPr>
          <w:rFonts w:ascii="Times New Roman" w:hAnsi="Times New Roman"/>
          <w:b w:val="false"/>
          <w:i w:val="false"/>
          <w:color w:val="000000"/>
          <w:sz w:val="22"/>
        </w:rPr>
        <w:t>金融资产收益能否回归**“低波动+稳定现金流”**的长期定位。</w:t>
      </w:r>
    </w:p>
    <w:p>
      <w:pPr>
        <w:spacing w:before="269" w:after="269"/>
        <w:ind w:left="120"/>
        <w:jc w:val="left"/>
      </w:pPr>
      <w:r>
        <w:rPr>
          <w:rFonts w:ascii="Times New Roman" w:hAnsi="Times New Roman"/>
          <w:b w:val="false"/>
          <w:i w:val="false"/>
          <w:color w:val="000000"/>
          <w:sz w:val="22"/>
        </w:rPr>
        <w:t>在此过程中，</w:t>
      </w:r>
      <w:r>
        <w:rPr>
          <w:rFonts w:ascii="Times New Roman" w:hAnsi="Times New Roman"/>
          <w:b/>
          <w:i w:val="false"/>
          <w:color w:val="000000"/>
          <w:sz w:val="22"/>
        </w:rPr>
        <w:t>扣非净利润将比归母净利润更能反映公司真实经营水平</w:t>
      </w:r>
      <w:r>
        <w:rPr>
          <w:rFonts w:ascii="Times New Roman" w:hAnsi="Times New Roman"/>
          <w:b w:val="false"/>
          <w:i w:val="false"/>
          <w:color w:val="000000"/>
          <w:sz w:val="22"/>
        </w:rPr>
        <w:t>，应成为2025-2026年跟踪的核心指标之一。</w:t>
      </w:r>
    </w:p>
    <w:p>
      <w:pPr>
        <w:spacing w:before="199" w:after="199"/>
        <w:ind w:left="120"/>
        <w:jc w:val="left"/>
      </w:pPr>
      <w:r>
        <w:rPr>
          <w:rFonts w:ascii="Times New Roman" w:hAnsi="Times New Roman"/>
          <w:b/>
          <w:i w:val="false"/>
          <w:color w:val="000000"/>
          <w:sz w:val="26"/>
        </w:rPr>
        <w:t>3.4.4 治理与股权结构：大股东减持扰动情绪，财务安全边际较高</w:t>
      </w:r>
    </w:p>
    <w:p>
      <w:pPr>
        <w:spacing w:before="269" w:after="269"/>
        <w:ind w:left="120"/>
        <w:jc w:val="left"/>
      </w:pPr>
      <w:r>
        <w:rPr>
          <w:rFonts w:ascii="Times New Roman" w:hAnsi="Times New Roman"/>
          <w:b w:val="false"/>
          <w:i w:val="false"/>
          <w:color w:val="000000"/>
          <w:sz w:val="22"/>
        </w:rPr>
        <w:t>2025年第三季度业绩说明会中，投资者高度关注第二大股东西子联合及其一致行动人陈桂花连续减持行为，担忧是否存在“清仓减持”意图及对公司未来发展的信心问题。公司回应称，</w:t>
      </w:r>
      <w:r>
        <w:rPr>
          <w:rFonts w:ascii="Times New Roman" w:hAnsi="Times New Roman"/>
          <w:b/>
          <w:i w:val="false"/>
          <w:color w:val="000000"/>
          <w:sz w:val="22"/>
        </w:rPr>
        <w:t>西子联合与控股股东西子国际非一致行动人，此次减持出于自身战略需要，与上市公司基本面无关</w:t>
      </w:r>
      <w:r>
        <w:rPr>
          <w:rFonts w:ascii="Times New Roman" w:hAnsi="Times New Roman"/>
          <w:b w:val="false"/>
          <w:i w:val="false"/>
          <w:color w:val="000000"/>
          <w:sz w:val="22"/>
        </w:rPr>
        <w:t>。</w:t>
      </w:r>
    </w:p>
    <w:p>
      <w:pPr>
        <w:spacing w:before="269" w:after="269"/>
        <w:ind w:left="120"/>
        <w:jc w:val="left"/>
      </w:pPr>
      <w:r>
        <w:rPr>
          <w:rFonts w:ascii="Times New Roman" w:hAnsi="Times New Roman"/>
          <w:b w:val="false"/>
          <w:i w:val="false"/>
          <w:color w:val="000000"/>
          <w:sz w:val="22"/>
        </w:rPr>
        <w:t>从股权结构看，西子国际持股</w:t>
      </w:r>
      <w:r>
        <w:rPr>
          <w:rFonts w:ascii="Times New Roman" w:hAnsi="Times New Roman"/>
          <w:b/>
          <w:i w:val="false"/>
          <w:color w:val="000000"/>
          <w:sz w:val="22"/>
        </w:rPr>
        <w:t>42.50%</w:t>
      </w:r>
      <w:r>
        <w:rPr>
          <w:rFonts w:ascii="Times New Roman" w:hAnsi="Times New Roman"/>
          <w:b w:val="false"/>
          <w:i w:val="false"/>
          <w:color w:val="000000"/>
          <w:sz w:val="22"/>
        </w:rPr>
        <w:t>、西子联合持股</w:t>
      </w:r>
      <w:r>
        <w:rPr>
          <w:rFonts w:ascii="Times New Roman" w:hAnsi="Times New Roman"/>
          <w:b/>
          <w:i w:val="false"/>
          <w:color w:val="000000"/>
          <w:sz w:val="22"/>
        </w:rPr>
        <w:t>12.11%</w:t>
      </w:r>
      <w:r>
        <w:rPr>
          <w:rFonts w:ascii="Times New Roman" w:hAnsi="Times New Roman"/>
          <w:b w:val="false"/>
          <w:i w:val="false"/>
          <w:color w:val="000000"/>
          <w:sz w:val="22"/>
        </w:rPr>
        <w:t>，陈夏鑫作为实际控制人通过西子国际掌握公司控制权；二股东减持并未改变控制权稳定性。</w:t>
      </w:r>
    </w:p>
    <w:p>
      <w:pPr>
        <w:spacing w:before="269" w:after="269"/>
        <w:ind w:left="120"/>
        <w:jc w:val="left"/>
      </w:pPr>
      <w:r>
        <w:rPr>
          <w:rFonts w:ascii="Times New Roman" w:hAnsi="Times New Roman"/>
          <w:b w:val="false"/>
          <w:i w:val="false"/>
          <w:color w:val="000000"/>
          <w:sz w:val="22"/>
        </w:rPr>
        <w:t>财务层面，公司现金及委托理财合计超</w:t>
      </w:r>
      <w:r>
        <w:rPr>
          <w:rFonts w:ascii="Times New Roman" w:hAnsi="Times New Roman"/>
          <w:b/>
          <w:i w:val="false"/>
          <w:color w:val="000000"/>
          <w:sz w:val="22"/>
        </w:rPr>
        <w:t>10亿元</w:t>
      </w:r>
      <w:r>
        <w:rPr>
          <w:rFonts w:ascii="Times New Roman" w:hAnsi="Times New Roman"/>
          <w:b w:val="false"/>
          <w:i w:val="false"/>
          <w:color w:val="000000"/>
          <w:sz w:val="22"/>
        </w:rPr>
        <w:t>，无有息负债，具备较高安全边际和分红空间，管理层亦强调“适时分红，保障股东利益”。</w:t>
      </w:r>
    </w:p>
    <w:p>
      <w:pPr>
        <w:spacing w:before="269" w:after="269"/>
        <w:ind w:left="120"/>
        <w:jc w:val="left"/>
      </w:pPr>
      <w:r>
        <w:rPr>
          <w:rFonts w:ascii="Times New Roman" w:hAnsi="Times New Roman"/>
          <w:b w:val="false"/>
          <w:i w:val="false"/>
          <w:color w:val="000000"/>
          <w:sz w:val="22"/>
        </w:rPr>
        <w:t>综合以上分析，可以将百大集团的投资主线概括为三条：</w:t>
      </w:r>
    </w:p>
    <w:p>
      <w:pPr>
        <w:numPr>
          <w:ilvl w:val="0"/>
          <w:numId w:val="55"/>
        </w:numPr>
        <w:spacing w:before="0" w:after="0"/>
        <w:jc w:val="left"/>
      </w:pPr>
      <w:r>
        <w:rPr>
          <w:rFonts w:ascii="Times New Roman" w:hAnsi="Times New Roman"/>
          <w:b/>
          <w:i w:val="false"/>
          <w:color w:val="000000"/>
          <w:sz w:val="22"/>
        </w:rPr>
        <w:t>现金流与资产底盘：</w:t>
      </w:r>
    </w:p>
    <w:p>
      <w:pPr>
        <w:numPr>
          <w:ilvl w:val="0"/>
          <w:numId w:val="56"/>
        </w:numPr>
        <w:spacing w:before="0" w:after="0"/>
        <w:jc w:val="left"/>
      </w:pPr>
      <w:r>
        <w:rPr>
          <w:rFonts w:ascii="Times New Roman" w:hAnsi="Times New Roman"/>
          <w:b w:val="false"/>
          <w:i w:val="false"/>
          <w:color w:val="000000"/>
          <w:sz w:val="22"/>
        </w:rPr>
        <w:t>托管期内杭州百货大楼的委托管理利润+银泰利润补足条款，叠加湖墅南路、收藏品市场、501城市广场等高出租物业，以及马上消费金融投资收益，为公司提供高质量、稳定的经营性现金流；</w:t>
      </w:r>
    </w:p>
    <w:p>
      <w:pPr>
        <w:numPr>
          <w:ilvl w:val="0"/>
          <w:numId w:val="56"/>
        </w:numPr>
        <w:spacing w:before="0" w:after="0"/>
        <w:jc w:val="left"/>
      </w:pPr>
      <w:r>
        <w:rPr>
          <w:rFonts w:ascii="Times New Roman" w:hAnsi="Times New Roman"/>
          <w:b w:val="false"/>
          <w:i w:val="false"/>
          <w:color w:val="000000"/>
          <w:sz w:val="22"/>
        </w:rPr>
        <w:t>资产负债表无有息负债，货币资金与理财规模可观，财务风险低。</w:t>
      </w:r>
    </w:p>
    <w:p>
      <w:pPr>
        <w:numPr>
          <w:ilvl w:val="0"/>
          <w:numId w:val="57"/>
        </w:numPr>
        <w:spacing w:before="0" w:after="0"/>
        <w:jc w:val="left"/>
      </w:pPr>
      <w:r>
        <w:rPr>
          <w:rFonts w:ascii="Times New Roman" w:hAnsi="Times New Roman"/>
          <w:b/>
          <w:i w:val="false"/>
          <w:color w:val="000000"/>
          <w:sz w:val="22"/>
        </w:rPr>
        <w:t>恒隆租约与物业价值重估：</w:t>
      </w:r>
    </w:p>
    <w:p>
      <w:pPr>
        <w:numPr>
          <w:ilvl w:val="0"/>
          <w:numId w:val="58"/>
        </w:numPr>
        <w:spacing w:before="0" w:after="0"/>
        <w:jc w:val="left"/>
      </w:pPr>
      <w:r>
        <w:rPr>
          <w:rFonts w:ascii="Times New Roman" w:hAnsi="Times New Roman"/>
          <w:b w:val="false"/>
          <w:i w:val="false"/>
          <w:color w:val="000000"/>
          <w:sz w:val="22"/>
        </w:rPr>
        <w:t>2028年起杭州百货大楼年租金1.5亿元、三年一小步递增4.5%、恒隆担保的高确定性现金流，是未来5-10年的估值锚；</w:t>
      </w:r>
    </w:p>
    <w:p>
      <w:pPr>
        <w:numPr>
          <w:ilvl w:val="0"/>
          <w:numId w:val="58"/>
        </w:numPr>
        <w:spacing w:before="0" w:after="0"/>
        <w:jc w:val="left"/>
      </w:pPr>
      <w:r>
        <w:rPr>
          <w:rFonts w:ascii="Times New Roman" w:hAnsi="Times New Roman"/>
          <w:b w:val="false"/>
          <w:i w:val="false"/>
          <w:color w:val="000000"/>
          <w:sz w:val="22"/>
        </w:rPr>
        <w:t>从当前市值与PB水平看，市场对这一长期价值重估尚未充分反映，为中长期投资者提供了布局空间。</w:t>
      </w:r>
    </w:p>
    <w:p>
      <w:pPr>
        <w:numPr>
          <w:ilvl w:val="0"/>
          <w:numId w:val="59"/>
        </w:numPr>
        <w:spacing w:before="0" w:after="0"/>
        <w:jc w:val="left"/>
      </w:pPr>
      <w:r>
        <w:rPr>
          <w:rFonts w:ascii="Times New Roman" w:hAnsi="Times New Roman"/>
          <w:b/>
          <w:i w:val="false"/>
          <w:color w:val="000000"/>
          <w:sz w:val="22"/>
        </w:rPr>
        <w:t>金融资产风险出清的节奏：</w:t>
      </w:r>
    </w:p>
    <w:p>
      <w:pPr>
        <w:numPr>
          <w:ilvl w:val="0"/>
          <w:numId w:val="60"/>
        </w:numPr>
        <w:spacing w:before="0" w:after="0"/>
        <w:jc w:val="left"/>
      </w:pPr>
      <w:r>
        <w:rPr>
          <w:rFonts w:ascii="Times New Roman" w:hAnsi="Times New Roman"/>
          <w:b w:val="false"/>
          <w:i w:val="false"/>
          <w:color w:val="000000"/>
          <w:sz w:val="22"/>
        </w:rPr>
        <w:t>金地商置与杭工商信托的公允价值损失已实质性压低2025年前三季度利润，若2025-2026年进一步减值幅度有限，则</w:t>
      </w:r>
      <w:r>
        <w:rPr>
          <w:rFonts w:ascii="Times New Roman" w:hAnsi="Times New Roman"/>
          <w:b/>
          <w:i w:val="false"/>
          <w:color w:val="000000"/>
          <w:sz w:val="22"/>
        </w:rPr>
        <w:t>2025可能已经是利润底部区域</w:t>
      </w:r>
      <w:r>
        <w:rPr>
          <w:rFonts w:ascii="Times New Roman" w:hAnsi="Times New Roman"/>
          <w:b w:val="false"/>
          <w:i w:val="false"/>
          <w:color w:val="000000"/>
          <w:sz w:val="22"/>
        </w:rPr>
        <w:t>；</w:t>
      </w:r>
    </w:p>
    <w:p>
      <w:pPr>
        <w:numPr>
          <w:ilvl w:val="0"/>
          <w:numId w:val="60"/>
        </w:numPr>
        <w:spacing w:before="0" w:after="0"/>
        <w:jc w:val="left"/>
      </w:pPr>
      <w:r>
        <w:rPr>
          <w:rFonts w:ascii="Times New Roman" w:hAnsi="Times New Roman"/>
          <w:b w:val="false"/>
          <w:i w:val="false"/>
          <w:color w:val="000000"/>
          <w:sz w:val="22"/>
        </w:rPr>
        <w:t>若公司能在未来1-2年内适度优化资产配置结构，金融资产对利润表的波动将逐步减弱，有利于估值体系回归“现金流折现”逻辑。</w:t>
      </w:r>
    </w:p>
    <w:p>
      <w:pPr>
        <w:spacing w:before="269" w:after="269"/>
        <w:ind w:left="120"/>
        <w:jc w:val="left"/>
      </w:pPr>
      <w:r>
        <w:rPr>
          <w:rFonts w:ascii="Times New Roman" w:hAnsi="Times New Roman"/>
          <w:b w:val="false"/>
          <w:i w:val="false"/>
          <w:color w:val="000000"/>
          <w:sz w:val="22"/>
        </w:rPr>
        <w:t>总体而言，</w:t>
      </w:r>
      <w:r>
        <w:rPr>
          <w:rFonts w:ascii="Times New Roman" w:hAnsi="Times New Roman"/>
          <w:b/>
          <w:i w:val="false"/>
          <w:color w:val="000000"/>
          <w:sz w:val="22"/>
        </w:rPr>
        <w:t>2025-2026年的百大集团更像是一只“主业稳+金融受损+资产价值待重估”的过渡型标的</w:t>
      </w:r>
      <w:r>
        <w:rPr>
          <w:rFonts w:ascii="Times New Roman" w:hAnsi="Times New Roman"/>
          <w:b w:val="false"/>
          <w:i w:val="false"/>
          <w:color w:val="000000"/>
          <w:sz w:val="22"/>
        </w:rPr>
        <w:t>。对短期业绩弹性要求不高、愿意以较长视角持有、重视现金流与资产安全边际的中长期资金，可以在密切跟踪金融资产风险出清进度的前提下，将其纳入“资产重估+高分红潜力”组合中进行结构性配置。</w:t>
      </w:r>
    </w:p>
    <w:p>
      <w:pPr>
        <w:spacing w:before="161" w:after="161"/>
        <w:ind w:left="120"/>
        <w:jc w:val="left"/>
      </w:pPr>
      <w:r>
        <w:rPr>
          <w:rFonts w:ascii="Times New Roman" w:hAnsi="Times New Roman"/>
          <w:b/>
          <w:i w:val="false"/>
          <w:color w:val="000000"/>
          <w:sz w:val="44"/>
        </w:rPr>
        <w:t>四、同业对比与百大集团竞争护城河评估</w:t>
      </w:r>
    </w:p>
    <w:p>
      <w:pPr>
        <w:spacing w:before="269" w:after="269"/>
        <w:ind w:left="120"/>
        <w:jc w:val="left"/>
      </w:pPr>
      <w:r>
        <w:rPr>
          <w:rFonts w:ascii="Times New Roman" w:hAnsi="Times New Roman"/>
          <w:b/>
          <w:i w:val="false"/>
          <w:color w:val="000000"/>
          <w:sz w:val="22"/>
        </w:rPr>
        <w:t>百大集团当前的核心竞争力不在于传统“零售运营能力”，而在于“武林核心商圈稀缺商业物业+轻资产收租/托管模式”所构成的类商业REITs资产属性，在同业中具备明显差异化护城河。</w:t>
      </w:r>
    </w:p>
    <w:p>
      <w:pPr>
        <w:spacing w:before="269" w:after="269"/>
        <w:ind w:left="120"/>
        <w:jc w:val="left"/>
      </w:pPr>
      <w:r>
        <w:rPr>
          <w:rFonts w:ascii="Times New Roman" w:hAnsi="Times New Roman"/>
          <w:b w:val="false"/>
          <w:i w:val="false"/>
          <w:color w:val="000000"/>
          <w:sz w:val="22"/>
        </w:rPr>
        <w:t>与区域龙头重庆百货、武商集团相比，百大集团过去三年ROE中枢偏低，但依托</w:t>
      </w:r>
      <w:r>
        <w:rPr>
          <w:rFonts w:ascii="Times New Roman" w:hAnsi="Times New Roman"/>
          <w:b/>
          <w:i w:val="false"/>
          <w:color w:val="000000"/>
          <w:sz w:val="22"/>
        </w:rPr>
        <w:t>接近90%的极高毛利率</w:t>
      </w:r>
      <w:r>
        <w:rPr>
          <w:rFonts w:ascii="Times New Roman" w:hAnsi="Times New Roman"/>
          <w:b w:val="false"/>
          <w:i w:val="false"/>
          <w:color w:val="000000"/>
          <w:sz w:val="22"/>
        </w:rPr>
        <w:t>和</w:t>
      </w:r>
      <w:r>
        <w:rPr>
          <w:rFonts w:ascii="Times New Roman" w:hAnsi="Times New Roman"/>
          <w:b/>
          <w:i w:val="false"/>
          <w:color w:val="000000"/>
          <w:sz w:val="22"/>
        </w:rPr>
        <w:t>恒隆20年长约锁定的高成长租金现金流</w:t>
      </w:r>
      <w:r>
        <w:rPr>
          <w:rFonts w:ascii="Times New Roman" w:hAnsi="Times New Roman"/>
          <w:b w:val="false"/>
          <w:i w:val="false"/>
          <w:color w:val="000000"/>
          <w:sz w:val="22"/>
        </w:rPr>
        <w:t>，其“安全边际+长期现金流可见性”突出，更适合作为2025-2026年百货商贸板块中偏防御、偏“资产重估”的配置标的，而非高成长运营型标的。</w:t>
      </w:r>
    </w:p>
    <w:p>
      <w:pPr>
        <w:spacing w:before="180" w:after="180"/>
        <w:ind w:left="120"/>
        <w:jc w:val="left"/>
      </w:pPr>
      <w:r>
        <w:rPr>
          <w:rFonts w:ascii="Times New Roman" w:hAnsi="Times New Roman"/>
          <w:b/>
          <w:i w:val="false"/>
          <w:color w:val="000000"/>
          <w:sz w:val="33"/>
        </w:rPr>
        <w:t>4.1 与区域龙头的盈利能力与商业模式对比</w:t>
      </w:r>
    </w:p>
    <w:p>
      <w:pPr>
        <w:spacing w:before="199" w:after="199"/>
        <w:ind w:left="120"/>
        <w:jc w:val="left"/>
      </w:pPr>
      <w:r>
        <w:rPr>
          <w:rFonts w:ascii="Times New Roman" w:hAnsi="Times New Roman"/>
          <w:b/>
          <w:i w:val="false"/>
          <w:color w:val="000000"/>
          <w:sz w:val="26"/>
        </w:rPr>
        <w:t>4.1.1 ROE与毛利率的量化对比：资本效率不高但资产质地优</w:t>
      </w:r>
    </w:p>
    <w:p>
      <w:pPr>
        <w:spacing w:before="269" w:after="269"/>
        <w:ind w:left="120"/>
        <w:jc w:val="left"/>
      </w:pPr>
      <w:r>
        <w:rPr>
          <w:rFonts w:ascii="Times New Roman" w:hAnsi="Times New Roman"/>
          <w:b w:val="false"/>
          <w:i w:val="false"/>
          <w:color w:val="000000"/>
          <w:sz w:val="22"/>
        </w:rPr>
        <w:t>根据三家公司2022-2024年关键财务指标汇总，百大集团毛利率长期在</w:t>
      </w:r>
      <w:r>
        <w:rPr>
          <w:rFonts w:ascii="Times New Roman" w:hAnsi="Times New Roman"/>
          <w:b/>
          <w:i w:val="false"/>
          <w:color w:val="000000"/>
          <w:sz w:val="22"/>
        </w:rPr>
        <w:t>85%-90%</w:t>
      </w:r>
      <w:r>
        <w:rPr>
          <w:rFonts w:ascii="Times New Roman" w:hAnsi="Times New Roman"/>
          <w:b/>
          <w:i w:val="false"/>
          <w:color w:val="000000"/>
          <w:sz w:val="22"/>
        </w:rPr>
        <w:t>高位，远高于武商集团约</w:t>
      </w:r>
      <w:r>
        <w:rPr>
          <w:rFonts w:ascii="Times New Roman" w:hAnsi="Times New Roman"/>
          <w:b/>
          <w:i w:val="false"/>
          <w:color w:val="000000"/>
          <w:sz w:val="22"/>
        </w:rPr>
        <w:t>45%-49%</w:t>
      </w:r>
      <w:r>
        <w:rPr>
          <w:rFonts w:ascii="Times New Roman" w:hAnsi="Times New Roman"/>
          <w:b/>
          <w:i w:val="false"/>
          <w:color w:val="000000"/>
          <w:sz w:val="22"/>
        </w:rPr>
        <w:t>和重庆百货约</w:t>
      </w:r>
      <w:r>
        <w:rPr>
          <w:rFonts w:ascii="Times New Roman" w:hAnsi="Times New Roman"/>
          <w:b/>
          <w:i w:val="false"/>
          <w:color w:val="000000"/>
          <w:sz w:val="22"/>
        </w:rPr>
        <w:t>26%</w:t>
      </w:r>
      <w:r>
        <w:rPr>
          <w:rFonts w:ascii="Times New Roman" w:hAnsi="Times New Roman"/>
          <w:b w:val="false"/>
          <w:i w:val="false"/>
          <w:color w:val="000000"/>
          <w:sz w:val="22"/>
        </w:rPr>
        <w:t>；但ROE却明显低于重庆百货，且在2023年一度显著下滑。</w:t>
      </w:r>
    </w:p>
    <w:p>
      <w:pPr>
        <w:spacing w:before="269" w:after="269"/>
        <w:ind w:left="120"/>
        <w:jc w:val="left"/>
      </w:pPr>
      <w:r>
        <w:rPr>
          <w:rFonts w:ascii="Times New Roman" w:hAnsi="Times New Roman"/>
          <w:b/>
          <w:i w:val="false"/>
          <w:color w:val="000000"/>
          <w:sz w:val="22"/>
        </w:rPr>
        <w:t>表3：百大集团与主要同业盈利能力对比（2022-2024）</w:t>
      </w:r>
    </w:p>
    <w:tbl>
      <w:tblPr>
        <w:tblW w:w="0" w:type="auto"/>
        <w:tblCellSpacing w:w="0" w:type="auto"/>
        <w:tblInd w:w="115" w:type="dxa"/>
        <w:tblBorders>
          <w:top w:val="single" w:color="aaaaaa" w:sz="8"/>
          <w:left w:val="single" w:color="aaaaaa" w:sz="8"/>
          <w:bottom w:val="single" w:color="aaaaaa" w:sz="8"/>
          <w:right w:val="single" w:color="aaaaaa" w:sz="8"/>
          <w:insideH w:val="none"/>
          <w:insideV w:val="none"/>
        </w:tblBorders>
      </w:tblPr>
      <w:tblGrid>
        <w:gridCol w:w="2736"/>
        <w:gridCol w:w="2737"/>
        <w:gridCol w:w="4379"/>
        <w:gridCol w:w="3782"/>
      </w:tblGrid>
      <w:tr>
        <w:trPr>
          <w:trHeight w:val="525" w:hRule="atLeast"/>
        </w:trPr>
        <w:tc>
          <w:tcPr>
            <w:tcW w:w="2736"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公司</w:t>
            </w:r>
          </w:p>
        </w:tc>
        <w:tc>
          <w:tcPr>
            <w:tcW w:w="273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年份</w:t>
            </w:r>
          </w:p>
        </w:tc>
        <w:tc>
          <w:tcPr>
            <w:tcW w:w="437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ROE(%)</w:t>
            </w:r>
          </w:p>
        </w:tc>
        <w:tc>
          <w:tcPr>
            <w:tcW w:w="3782"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i w:val="false"/>
                <w:color w:val="000000"/>
                <w:sz w:val="22"/>
              </w:rPr>
              <w:t>毛利率(%)</w:t>
            </w:r>
          </w:p>
        </w:tc>
      </w:tr>
      <w:tr>
        <w:trPr>
          <w:trHeight w:val="510" w:hRule="atLeast"/>
        </w:trPr>
        <w:tc>
          <w:tcPr>
            <w:tcW w:w="2736"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百大集团</w:t>
            </w:r>
          </w:p>
        </w:tc>
        <w:tc>
          <w:tcPr>
            <w:tcW w:w="273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2022</w:t>
            </w:r>
          </w:p>
        </w:tc>
        <w:tc>
          <w:tcPr>
            <w:tcW w:w="437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7.76</w:t>
            </w:r>
          </w:p>
        </w:tc>
        <w:tc>
          <w:tcPr>
            <w:tcW w:w="3782"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85.65</w:t>
            </w:r>
          </w:p>
        </w:tc>
      </w:tr>
      <w:tr>
        <w:trPr>
          <w:trHeight w:val="510" w:hRule="atLeast"/>
        </w:trPr>
        <w:tc>
          <w:tcPr>
            <w:tcW w:w="2736"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百大集团</w:t>
            </w:r>
          </w:p>
        </w:tc>
        <w:tc>
          <w:tcPr>
            <w:tcW w:w="273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2023</w:t>
            </w:r>
          </w:p>
        </w:tc>
        <w:tc>
          <w:tcPr>
            <w:tcW w:w="437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0.59</w:t>
            </w:r>
          </w:p>
        </w:tc>
        <w:tc>
          <w:tcPr>
            <w:tcW w:w="3782"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89.12</w:t>
            </w:r>
          </w:p>
        </w:tc>
      </w:tr>
      <w:tr>
        <w:trPr>
          <w:trHeight w:val="510" w:hRule="atLeast"/>
        </w:trPr>
        <w:tc>
          <w:tcPr>
            <w:tcW w:w="2736"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百大集团</w:t>
            </w:r>
          </w:p>
        </w:tc>
        <w:tc>
          <w:tcPr>
            <w:tcW w:w="273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2024</w:t>
            </w:r>
          </w:p>
        </w:tc>
        <w:tc>
          <w:tcPr>
            <w:tcW w:w="437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5.76</w:t>
            </w:r>
          </w:p>
        </w:tc>
        <w:tc>
          <w:tcPr>
            <w:tcW w:w="3782"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89.92</w:t>
            </w:r>
          </w:p>
        </w:tc>
      </w:tr>
      <w:tr>
        <w:trPr>
          <w:trHeight w:val="510" w:hRule="atLeast"/>
        </w:trPr>
        <w:tc>
          <w:tcPr>
            <w:tcW w:w="2736"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武商集团</w:t>
            </w:r>
          </w:p>
        </w:tc>
        <w:tc>
          <w:tcPr>
            <w:tcW w:w="273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2022</w:t>
            </w:r>
          </w:p>
        </w:tc>
        <w:tc>
          <w:tcPr>
            <w:tcW w:w="437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2.80</w:t>
            </w:r>
          </w:p>
        </w:tc>
        <w:tc>
          <w:tcPr>
            <w:tcW w:w="3782"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44.75</w:t>
            </w:r>
          </w:p>
        </w:tc>
      </w:tr>
      <w:tr>
        <w:trPr>
          <w:trHeight w:val="510" w:hRule="atLeast"/>
        </w:trPr>
        <w:tc>
          <w:tcPr>
            <w:tcW w:w="2736"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武商集团</w:t>
            </w:r>
          </w:p>
        </w:tc>
        <w:tc>
          <w:tcPr>
            <w:tcW w:w="273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2023</w:t>
            </w:r>
          </w:p>
        </w:tc>
        <w:tc>
          <w:tcPr>
            <w:tcW w:w="437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1.91</w:t>
            </w:r>
          </w:p>
        </w:tc>
        <w:tc>
          <w:tcPr>
            <w:tcW w:w="3782"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47.03</w:t>
            </w:r>
          </w:p>
        </w:tc>
      </w:tr>
      <w:tr>
        <w:trPr>
          <w:trHeight w:val="510" w:hRule="atLeast"/>
        </w:trPr>
        <w:tc>
          <w:tcPr>
            <w:tcW w:w="2736"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武商集团</w:t>
            </w:r>
          </w:p>
        </w:tc>
        <w:tc>
          <w:tcPr>
            <w:tcW w:w="273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2024</w:t>
            </w:r>
          </w:p>
        </w:tc>
        <w:tc>
          <w:tcPr>
            <w:tcW w:w="437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1.95</w:t>
            </w:r>
          </w:p>
        </w:tc>
        <w:tc>
          <w:tcPr>
            <w:tcW w:w="3782"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49.06</w:t>
            </w:r>
          </w:p>
        </w:tc>
      </w:tr>
      <w:tr>
        <w:trPr>
          <w:trHeight w:val="510" w:hRule="atLeast"/>
        </w:trPr>
        <w:tc>
          <w:tcPr>
            <w:tcW w:w="2736"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重庆百货</w:t>
            </w:r>
          </w:p>
        </w:tc>
        <w:tc>
          <w:tcPr>
            <w:tcW w:w="273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2022</w:t>
            </w:r>
          </w:p>
        </w:tc>
        <w:tc>
          <w:tcPr>
            <w:tcW w:w="437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17.25</w:t>
            </w:r>
          </w:p>
        </w:tc>
        <w:tc>
          <w:tcPr>
            <w:tcW w:w="3782"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26.11</w:t>
            </w:r>
          </w:p>
        </w:tc>
      </w:tr>
      <w:tr>
        <w:trPr>
          <w:trHeight w:val="510" w:hRule="atLeast"/>
        </w:trPr>
        <w:tc>
          <w:tcPr>
            <w:tcW w:w="2736"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重庆百货</w:t>
            </w:r>
          </w:p>
        </w:tc>
        <w:tc>
          <w:tcPr>
            <w:tcW w:w="273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2023</w:t>
            </w:r>
          </w:p>
        </w:tc>
        <w:tc>
          <w:tcPr>
            <w:tcW w:w="437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21.15</w:t>
            </w:r>
          </w:p>
        </w:tc>
        <w:tc>
          <w:tcPr>
            <w:tcW w:w="3782"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25.67</w:t>
            </w:r>
          </w:p>
        </w:tc>
      </w:tr>
      <w:tr>
        <w:trPr>
          <w:trHeight w:val="510" w:hRule="atLeast"/>
        </w:trPr>
        <w:tc>
          <w:tcPr>
            <w:tcW w:w="2736"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重庆百货</w:t>
            </w:r>
          </w:p>
        </w:tc>
        <w:tc>
          <w:tcPr>
            <w:tcW w:w="2737"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2024</w:t>
            </w:r>
          </w:p>
        </w:tc>
        <w:tc>
          <w:tcPr>
            <w:tcW w:w="4379"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18.62</w:t>
            </w:r>
          </w:p>
        </w:tc>
        <w:tc>
          <w:tcPr>
            <w:tcW w:w="3782" w:type="dxa"/>
            <w:tcBorders>
              <w:top w:val="single" w:color="aaaaaa" w:sz="8"/>
              <w:left w:val="single" w:color="aaaaaa" w:sz="8"/>
              <w:bottom w:val="single" w:color="aaaaaa" w:sz="8"/>
              <w:right w:val="single" w:color="aaaaaa" w:sz="8"/>
            </w:tcBorders>
            <w:tcMar>
              <w:top w:w="120" w:type="dxa"/>
              <w:left w:w="120" w:type="dxa"/>
              <w:bottom w:w="120" w:type="dxa"/>
              <w:right w:w="120" w:type="dxa"/>
            </w:tcMar>
            <w:vAlign w:val="center"/>
          </w:tcPr>
          <w:p>
            <w:pPr>
              <w:spacing w:before="0" w:after="0"/>
              <w:ind w:left="0"/>
              <w:jc w:val="left"/>
            </w:pPr>
            <w:r>
              <w:rPr>
                <w:rFonts w:ascii="Times New Roman" w:hAnsi="Times New Roman"/>
                <w:b w:val="false"/>
                <w:i w:val="false"/>
                <w:color w:val="000000"/>
                <w:sz w:val="22"/>
              </w:rPr>
              <w:t>25.94</w:t>
            </w:r>
          </w:p>
        </w:tc>
      </w:tr>
    </w:tbl>
    <w:p>
      <w:pPr>
        <w:spacing w:before="269" w:after="269"/>
        <w:ind w:left="120"/>
        <w:jc w:val="left"/>
      </w:pPr>
      <w:r>
        <w:rPr>
          <w:rFonts w:ascii="Times New Roman" w:hAnsi="Times New Roman"/>
          <w:b w:val="false"/>
          <w:i w:val="false"/>
          <w:color w:val="000000"/>
          <w:sz w:val="22"/>
        </w:rPr>
        <w:t>从图像维度看，下图清晰展示了三家公司在ROE和毛利率上的“剪刀差”：百大集团毛利率几乎是重庆百货的</w:t>
      </w:r>
      <w:r>
        <w:rPr>
          <w:rFonts w:ascii="Times New Roman" w:hAnsi="Times New Roman"/>
          <w:b/>
          <w:i w:val="false"/>
          <w:color w:val="000000"/>
          <w:sz w:val="22"/>
        </w:rPr>
        <w:t>3倍以上</w:t>
      </w:r>
      <w:r>
        <w:rPr>
          <w:rFonts w:ascii="Times New Roman" w:hAnsi="Times New Roman"/>
          <w:b w:val="false"/>
          <w:i w:val="false"/>
          <w:color w:val="000000"/>
          <w:sz w:val="22"/>
        </w:rPr>
        <w:t>，但ROE却只有重庆百货的约</w:t>
      </w:r>
      <w:r>
        <w:rPr>
          <w:rFonts w:ascii="Times New Roman" w:hAnsi="Times New Roman"/>
          <w:b/>
          <w:i w:val="false"/>
          <w:color w:val="000000"/>
          <w:sz w:val="22"/>
        </w:rPr>
        <w:t>1/3</w:t>
      </w:r>
      <w:r>
        <w:rPr>
          <w:rFonts w:ascii="Times New Roman" w:hAnsi="Times New Roman"/>
          <w:b w:val="false"/>
          <w:i w:val="false"/>
          <w:color w:val="000000"/>
          <w:sz w:val="22"/>
        </w:rPr>
        <w:t>；武商集团则处于“中毛利+低ROE”的弱势位置。</w:t>
      </w:r>
    </w:p>
    <w:p>
      <w:pPr>
        <w:spacing w:before="269" w:after="269"/>
        <w:ind w:left="120"/>
        <w:jc w:val="left"/>
      </w:pPr>
      <w:r>
        <w:drawing>
          <wp:inline distT="0" distB="0" distL="0" distR="0">
            <wp:extent cx="5732145" cy="3199337"/>
            <wp:effectExtent l="0" t="0" r="0" b="0"/>
            <wp:docPr id="4" name="" descr=""/>
            <wp:cNvGraphicFramePr>
              <a:graphicFrameLocks noChangeAspect="true"/>
            </wp:cNvGraphicFramePr>
            <a:graphic>
              <a:graphicData uri="http://schemas.openxmlformats.org/drawingml/2006/picture">
                <pic:pic>
                  <pic:nvPicPr>
                    <pic:cNvPr id="1" name=""/>
                    <pic:cNvPicPr/>
                  </pic:nvPicPr>
                  <pic:blipFill>
                    <a:blip r:embed="rId6"/>
                    <a:stretch>
                      <a:fillRect/>
                    </a:stretch>
                  </pic:blipFill>
                  <pic:spPr>
                    <a:xfrm>
                      <a:off x="0" y="0"/>
                      <a:ext cx="5732145" cy="3199337"/>
                    </a:xfrm>
                    <a:prstGeom prst="rect">
                      <a:avLst/>
                    </a:prstGeom>
                  </pic:spPr>
                </pic:pic>
              </a:graphicData>
            </a:graphic>
          </wp:inline>
        </w:drawing>
      </w:r>
      <w:r>
        <w:rPr>
          <w:rFonts w:ascii="Times New Roman" w:hAnsi="Times New Roman"/>
          <w:b w:val="false"/>
          <w:i w:val="false"/>
          <w:color w:val="000000"/>
          <w:sz w:val="22"/>
        </w:rPr>
        <w:t xml:space="preserve"> </w:t>
      </w:r>
      <w:r>
        <w:rPr>
          <w:rFonts w:ascii="Times New Roman" w:hAnsi="Times New Roman"/>
          <w:b/>
          <w:i w:val="false"/>
          <w:color w:val="000000"/>
          <w:sz w:val="22"/>
        </w:rPr>
        <w:t>图3：百大集团与区域龙头盈利能力对比(2022-2024)</w:t>
      </w:r>
    </w:p>
    <w:p>
      <w:pPr>
        <w:spacing w:before="269" w:after="269"/>
        <w:ind w:left="120"/>
        <w:jc w:val="left"/>
      </w:pPr>
      <w:r>
        <w:rPr>
          <w:rFonts w:ascii="Times New Roman" w:hAnsi="Times New Roman"/>
          <w:b w:val="false"/>
          <w:i w:val="false"/>
          <w:color w:val="000000"/>
          <w:sz w:val="22"/>
        </w:rPr>
        <w:t>从投资逻辑上，这组“高毛利+中低ROE”的组合，说明百大集团的利润表高度“资产租金化”，但</w:t>
      </w:r>
      <w:r>
        <w:rPr>
          <w:rFonts w:ascii="Times New Roman" w:hAnsi="Times New Roman"/>
          <w:b/>
          <w:i w:val="false"/>
          <w:color w:val="000000"/>
          <w:sz w:val="22"/>
        </w:rPr>
        <w:t>净资产基数较大、非主业股权投资拖累ROE</w:t>
      </w:r>
      <w:r>
        <w:rPr>
          <w:rFonts w:ascii="Times New Roman" w:hAnsi="Times New Roman"/>
          <w:b w:val="false"/>
          <w:i w:val="false"/>
          <w:color w:val="000000"/>
          <w:sz w:val="22"/>
        </w:rPr>
        <w:t>，并非经营层面效率极低。</w:t>
      </w:r>
    </w:p>
    <w:p>
      <w:pPr>
        <w:numPr>
          <w:ilvl w:val="0"/>
          <w:numId w:val="61"/>
        </w:numPr>
        <w:spacing w:before="0" w:after="0"/>
        <w:jc w:val="left"/>
      </w:pPr>
      <w:r>
        <w:rPr>
          <w:rFonts w:ascii="Times New Roman" w:hAnsi="Times New Roman"/>
          <w:b w:val="false"/>
          <w:i w:val="false"/>
          <w:color w:val="000000"/>
          <w:sz w:val="22"/>
        </w:rPr>
        <w:t>百大集团2024年实现营业收入约</w:t>
      </w:r>
      <w:r>
        <w:rPr>
          <w:rFonts w:ascii="Times New Roman" w:hAnsi="Times New Roman"/>
          <w:b/>
          <w:i w:val="false"/>
          <w:color w:val="000000"/>
          <w:sz w:val="22"/>
        </w:rPr>
        <w:t>1.94亿元</w:t>
      </w:r>
      <w:r>
        <w:rPr>
          <w:rFonts w:ascii="Times New Roman" w:hAnsi="Times New Roman"/>
          <w:b w:val="false"/>
          <w:i w:val="false"/>
          <w:color w:val="000000"/>
          <w:sz w:val="22"/>
        </w:rPr>
        <w:t>，归母净利润约</w:t>
      </w:r>
      <w:r>
        <w:rPr>
          <w:rFonts w:ascii="Times New Roman" w:hAnsi="Times New Roman"/>
          <w:b/>
          <w:i w:val="false"/>
          <w:color w:val="000000"/>
          <w:sz w:val="22"/>
        </w:rPr>
        <w:t>1.33亿元</w:t>
      </w:r>
      <w:r>
        <w:rPr>
          <w:rFonts w:ascii="Times New Roman" w:hAnsi="Times New Roman"/>
          <w:b w:val="false"/>
          <w:i w:val="false"/>
          <w:color w:val="000000"/>
          <w:sz w:val="22"/>
        </w:rPr>
        <w:t>，扣非净利润约</w:t>
      </w:r>
      <w:r>
        <w:rPr>
          <w:rFonts w:ascii="Times New Roman" w:hAnsi="Times New Roman"/>
          <w:b/>
          <w:i w:val="false"/>
          <w:color w:val="000000"/>
          <w:sz w:val="22"/>
        </w:rPr>
        <w:t>0.79亿元</w:t>
      </w:r>
      <w:r>
        <w:rPr>
          <w:rFonts w:ascii="Times New Roman" w:hAnsi="Times New Roman"/>
          <w:b w:val="false"/>
          <w:i w:val="false"/>
          <w:color w:val="000000"/>
          <w:sz w:val="22"/>
        </w:rPr>
        <w:t>；归母净利同比大幅增长</w:t>
      </w:r>
      <w:r>
        <w:rPr>
          <w:rFonts w:ascii="Times New Roman" w:hAnsi="Times New Roman"/>
          <w:b/>
          <w:i w:val="false"/>
          <w:color w:val="000000"/>
          <w:sz w:val="22"/>
        </w:rPr>
        <w:t>878%</w:t>
      </w:r>
      <w:r>
        <w:rPr>
          <w:rFonts w:ascii="Times New Roman" w:hAnsi="Times New Roman"/>
          <w:b w:val="false"/>
          <w:i w:val="false"/>
          <w:color w:val="000000"/>
          <w:sz w:val="22"/>
        </w:rPr>
        <w:t>，主要系前期投资拖累基数较低所致。</w:t>
      </w:r>
    </w:p>
    <w:p>
      <w:pPr>
        <w:numPr>
          <w:ilvl w:val="0"/>
          <w:numId w:val="61"/>
        </w:numPr>
        <w:spacing w:before="0" w:after="0"/>
        <w:jc w:val="left"/>
      </w:pPr>
      <w:r>
        <w:rPr>
          <w:rFonts w:ascii="Times New Roman" w:hAnsi="Times New Roman"/>
          <w:b w:val="false"/>
          <w:i w:val="false"/>
          <w:color w:val="000000"/>
          <w:sz w:val="22"/>
        </w:rPr>
        <w:t>公司明确披露持有金地商置及杭州工商信托股权投资，对2025年前三季度利润造成显著负面影响，单季归母净利润同比下降</w:t>
      </w:r>
      <w:r>
        <w:rPr>
          <w:rFonts w:ascii="Times New Roman" w:hAnsi="Times New Roman"/>
          <w:b/>
          <w:i w:val="false"/>
          <w:color w:val="000000"/>
          <w:sz w:val="22"/>
        </w:rPr>
        <w:t>142.77%</w:t>
      </w:r>
      <w:r>
        <w:rPr>
          <w:rFonts w:ascii="Times New Roman" w:hAnsi="Times New Roman"/>
          <w:b w:val="false"/>
          <w:i w:val="false"/>
          <w:color w:val="000000"/>
          <w:sz w:val="22"/>
        </w:rPr>
        <w:t>，核心原因之一即二级市场股价波动及工商信托持续亏损的公允价值变动损失。</w:t>
      </w:r>
    </w:p>
    <w:p>
      <w:pPr>
        <w:spacing w:before="269" w:after="269"/>
        <w:ind w:left="120"/>
        <w:jc w:val="left"/>
      </w:pPr>
      <w:r>
        <w:rPr>
          <w:rFonts w:ascii="Times New Roman" w:hAnsi="Times New Roman"/>
          <w:b w:val="false"/>
          <w:i w:val="false"/>
          <w:color w:val="000000"/>
          <w:sz w:val="22"/>
        </w:rPr>
        <w:t>对比重庆百货：</w:t>
      </w:r>
    </w:p>
    <w:p>
      <w:pPr>
        <w:numPr>
          <w:ilvl w:val="0"/>
          <w:numId w:val="62"/>
        </w:numPr>
        <w:spacing w:before="0" w:after="0"/>
        <w:jc w:val="left"/>
      </w:pPr>
      <w:r>
        <w:rPr>
          <w:rFonts w:ascii="Times New Roman" w:hAnsi="Times New Roman"/>
          <w:b w:val="false"/>
          <w:i w:val="false"/>
          <w:color w:val="000000"/>
          <w:sz w:val="22"/>
        </w:rPr>
        <w:t>重庆百货百货业态毛利率约</w:t>
      </w:r>
      <w:r>
        <w:rPr>
          <w:rFonts w:ascii="Times New Roman" w:hAnsi="Times New Roman"/>
          <w:b/>
          <w:i w:val="false"/>
          <w:color w:val="000000"/>
          <w:sz w:val="22"/>
        </w:rPr>
        <w:t>25%-26%</w:t>
      </w:r>
      <w:r>
        <w:rPr>
          <w:rFonts w:ascii="Times New Roman" w:hAnsi="Times New Roman"/>
          <w:b w:val="false"/>
          <w:i w:val="false"/>
          <w:color w:val="000000"/>
          <w:sz w:val="22"/>
        </w:rPr>
        <w:t>，ROE在**18%-21%**的高位，说明其通过供应链直采、自营品牌、折扣零售等方式提升资产周转率与利润率，ROE更多来自“经营效率+杠杆带来的资本回报”。</w:t>
      </w:r>
    </w:p>
    <w:p>
      <w:pPr>
        <w:spacing w:before="269" w:after="269"/>
        <w:ind w:left="120"/>
        <w:jc w:val="left"/>
      </w:pPr>
      <w:r>
        <w:rPr>
          <w:rFonts w:ascii="Times New Roman" w:hAnsi="Times New Roman"/>
          <w:b w:val="false"/>
          <w:i w:val="false"/>
          <w:color w:val="000000"/>
          <w:sz w:val="22"/>
        </w:rPr>
        <w:t>**判断：**百大集团的高毛利率来自“委托管理+物业租赁”的重资产收租模式，而非高周转零售经营能力，因此不宜简单以ROE与重庆百货直接对标；其更接近“区域商业地产运营+现金管理平台”的属性。</w:t>
      </w:r>
    </w:p>
    <w:p>
      <w:pPr>
        <w:spacing w:before="199" w:after="199"/>
        <w:ind w:left="120"/>
        <w:jc w:val="left"/>
      </w:pPr>
      <w:r>
        <w:rPr>
          <w:rFonts w:ascii="Times New Roman" w:hAnsi="Times New Roman"/>
          <w:b/>
          <w:i w:val="false"/>
          <w:color w:val="000000"/>
          <w:sz w:val="26"/>
        </w:rPr>
        <w:t>4.1.2 商业模式分化：百货运营 vs 资产收租</w:t>
      </w:r>
    </w:p>
    <w:p>
      <w:pPr>
        <w:numPr>
          <w:ilvl w:val="0"/>
          <w:numId w:val="63"/>
        </w:numPr>
        <w:spacing w:before="0" w:after="0"/>
        <w:jc w:val="left"/>
      </w:pPr>
      <w:r>
        <w:rPr>
          <w:rFonts w:ascii="Times New Roman" w:hAnsi="Times New Roman"/>
          <w:b/>
          <w:i w:val="false"/>
          <w:color w:val="000000"/>
          <w:sz w:val="22"/>
        </w:rPr>
        <w:t>百大集团：单店托管+租金/委托管理利润模式</w:t>
      </w:r>
    </w:p>
    <w:p>
      <w:pPr>
        <w:numPr>
          <w:ilvl w:val="0"/>
          <w:numId w:val="64"/>
        </w:numPr>
        <w:spacing w:before="0" w:after="0"/>
        <w:jc w:val="left"/>
      </w:pPr>
      <w:r>
        <w:rPr>
          <w:rFonts w:ascii="Times New Roman" w:hAnsi="Times New Roman"/>
          <w:b w:val="false"/>
          <w:i w:val="false"/>
          <w:color w:val="000000"/>
          <w:sz w:val="22"/>
        </w:rPr>
        <w:t>主营业务为商品零售，单店经营模式，拥有杭州百货大楼一家门店，自2008年起将杭州百货大楼等百货资产委托给浙江银泰百货经营管理20年，每年收取稳定委托管理利润，受行业波动影响较低。</w:t>
      </w:r>
    </w:p>
    <w:p>
      <w:pPr>
        <w:numPr>
          <w:ilvl w:val="0"/>
          <w:numId w:val="64"/>
        </w:numPr>
        <w:spacing w:before="0" w:after="0"/>
        <w:jc w:val="left"/>
      </w:pPr>
      <w:r>
        <w:rPr>
          <w:rFonts w:ascii="Times New Roman" w:hAnsi="Times New Roman"/>
          <w:b w:val="false"/>
          <w:i w:val="false"/>
          <w:color w:val="000000"/>
          <w:sz w:val="22"/>
        </w:rPr>
        <w:t>2024年杭州百货大楼实现营业收入约</w:t>
      </w:r>
      <w:r>
        <w:rPr>
          <w:rFonts w:ascii="Times New Roman" w:hAnsi="Times New Roman"/>
          <w:b/>
          <w:i w:val="false"/>
          <w:color w:val="000000"/>
          <w:sz w:val="22"/>
        </w:rPr>
        <w:t>1.56亿元</w:t>
      </w:r>
      <w:r>
        <w:rPr>
          <w:rFonts w:ascii="Times New Roman" w:hAnsi="Times New Roman"/>
          <w:b w:val="false"/>
          <w:i w:val="false"/>
          <w:color w:val="000000"/>
          <w:sz w:val="22"/>
        </w:rPr>
        <w:t>，委托管理利润“及时、足额收取”。</w:t>
      </w:r>
    </w:p>
    <w:p>
      <w:pPr>
        <w:numPr>
          <w:ilvl w:val="0"/>
          <w:numId w:val="64"/>
        </w:numPr>
        <w:spacing w:before="0" w:after="0"/>
        <w:jc w:val="left"/>
      </w:pPr>
      <w:r>
        <w:rPr>
          <w:rFonts w:ascii="Times New Roman" w:hAnsi="Times New Roman"/>
          <w:b w:val="false"/>
          <w:i w:val="false"/>
          <w:color w:val="000000"/>
          <w:sz w:val="22"/>
        </w:rPr>
        <w:t>其他自持物业出租（湖墅南路、收藏品市场等），2024年合计实现营业收入约</w:t>
      </w:r>
      <w:r>
        <w:rPr>
          <w:rFonts w:ascii="Times New Roman" w:hAnsi="Times New Roman"/>
          <w:b/>
          <w:i w:val="false"/>
          <w:color w:val="000000"/>
          <w:sz w:val="22"/>
        </w:rPr>
        <w:t>2,758.9万元</w:t>
      </w:r>
      <w:r>
        <w:rPr>
          <w:rFonts w:ascii="Times New Roman" w:hAnsi="Times New Roman"/>
          <w:b w:val="false"/>
          <w:i w:val="false"/>
          <w:color w:val="000000"/>
          <w:sz w:val="22"/>
        </w:rPr>
        <w:t>，湖墅南路整体出租率约</w:t>
      </w:r>
      <w:r>
        <w:rPr>
          <w:rFonts w:ascii="Times New Roman" w:hAnsi="Times New Roman"/>
          <w:b/>
          <w:i w:val="false"/>
          <w:color w:val="000000"/>
          <w:sz w:val="22"/>
        </w:rPr>
        <w:t>96%</w:t>
      </w:r>
      <w:r>
        <w:rPr>
          <w:rFonts w:ascii="Times New Roman" w:hAnsi="Times New Roman"/>
          <w:b w:val="false"/>
          <w:i w:val="false"/>
          <w:color w:val="000000"/>
          <w:sz w:val="22"/>
        </w:rPr>
        <w:t>。</w:t>
      </w:r>
    </w:p>
    <w:p>
      <w:pPr>
        <w:numPr>
          <w:ilvl w:val="0"/>
          <w:numId w:val="64"/>
        </w:numPr>
        <w:spacing w:before="0" w:after="0"/>
        <w:jc w:val="left"/>
      </w:pPr>
      <w:r>
        <w:rPr>
          <w:rFonts w:ascii="Times New Roman" w:hAnsi="Times New Roman"/>
          <w:b w:val="false"/>
          <w:i w:val="false"/>
          <w:color w:val="000000"/>
          <w:sz w:val="22"/>
        </w:rPr>
        <w:t>2025年公司又与恒隆签订</w:t>
      </w:r>
      <w:r>
        <w:rPr>
          <w:rFonts w:ascii="Times New Roman" w:hAnsi="Times New Roman"/>
          <w:b/>
          <w:i w:val="false"/>
          <w:color w:val="000000"/>
          <w:sz w:val="22"/>
        </w:rPr>
        <w:t>20年租赁合同</w:t>
      </w:r>
      <w:r>
        <w:rPr>
          <w:rFonts w:ascii="Times New Roman" w:hAnsi="Times New Roman"/>
          <w:b w:val="false"/>
          <w:i w:val="false"/>
          <w:color w:val="000000"/>
          <w:sz w:val="22"/>
        </w:rPr>
        <w:t>，自2028年起，杭州百货大楼南、北楼物业（约4.2万平米）每年租金</w:t>
      </w:r>
      <w:r>
        <w:rPr>
          <w:rFonts w:ascii="Times New Roman" w:hAnsi="Times New Roman"/>
          <w:b/>
          <w:i w:val="false"/>
          <w:color w:val="000000"/>
          <w:sz w:val="22"/>
        </w:rPr>
        <w:t>1.5亿元</w:t>
      </w:r>
      <w:r>
        <w:rPr>
          <w:rFonts w:ascii="Times New Roman" w:hAnsi="Times New Roman"/>
          <w:b w:val="false"/>
          <w:i w:val="false"/>
          <w:color w:val="000000"/>
          <w:sz w:val="22"/>
        </w:rPr>
        <w:t>，每三年递增</w:t>
      </w:r>
      <w:r>
        <w:rPr>
          <w:rFonts w:ascii="Times New Roman" w:hAnsi="Times New Roman"/>
          <w:b/>
          <w:i w:val="false"/>
          <w:color w:val="000000"/>
          <w:sz w:val="22"/>
        </w:rPr>
        <w:t>4.5%</w:t>
      </w:r>
      <w:r>
        <w:rPr>
          <w:rFonts w:ascii="Times New Roman" w:hAnsi="Times New Roman"/>
          <w:b w:val="false"/>
          <w:i w:val="false"/>
          <w:color w:val="000000"/>
          <w:sz w:val="22"/>
        </w:rPr>
        <w:t>，实际锁定了长期租金现金流。</w:t>
      </w:r>
    </w:p>
    <w:p>
      <w:pPr>
        <w:spacing w:before="269" w:after="269"/>
        <w:ind w:left="120"/>
        <w:jc w:val="left"/>
      </w:pPr>
      <w:r>
        <w:rPr>
          <w:rFonts w:ascii="Times New Roman" w:hAnsi="Times New Roman"/>
          <w:b w:val="false"/>
          <w:i w:val="false"/>
          <w:color w:val="000000"/>
          <w:sz w:val="22"/>
        </w:rPr>
        <w:t>这意味着百大集团在核心资产上，其收入结构本质是“固定租金+托管收益”，而非依靠销售毛利驱动的百货生意，具有</w:t>
      </w:r>
      <w:r>
        <w:rPr>
          <w:rFonts w:ascii="Times New Roman" w:hAnsi="Times New Roman"/>
          <w:b/>
          <w:i w:val="false"/>
          <w:color w:val="000000"/>
          <w:sz w:val="22"/>
        </w:rPr>
        <w:t>更强的现金流稳定性</w:t>
      </w:r>
      <w:r>
        <w:rPr>
          <w:rFonts w:ascii="Times New Roman" w:hAnsi="Times New Roman"/>
          <w:b w:val="false"/>
          <w:i w:val="false"/>
          <w:color w:val="000000"/>
          <w:sz w:val="22"/>
        </w:rPr>
        <w:t>与</w:t>
      </w:r>
      <w:r>
        <w:rPr>
          <w:rFonts w:ascii="Times New Roman" w:hAnsi="Times New Roman"/>
          <w:b/>
          <w:i w:val="false"/>
          <w:color w:val="000000"/>
          <w:sz w:val="22"/>
        </w:rPr>
        <w:t>更弱的经营弹性</w:t>
      </w:r>
      <w:r>
        <w:rPr>
          <w:rFonts w:ascii="Times New Roman" w:hAnsi="Times New Roman"/>
          <w:b w:val="false"/>
          <w:i w:val="false"/>
          <w:color w:val="000000"/>
          <w:sz w:val="22"/>
        </w:rPr>
        <w:t>。</w:t>
      </w:r>
    </w:p>
    <w:p>
      <w:pPr>
        <w:numPr>
          <w:ilvl w:val="0"/>
          <w:numId w:val="65"/>
        </w:numPr>
        <w:spacing w:before="0" w:after="0"/>
        <w:jc w:val="left"/>
      </w:pPr>
      <w:r>
        <w:rPr>
          <w:rFonts w:ascii="Times New Roman" w:hAnsi="Times New Roman"/>
          <w:b/>
          <w:i w:val="false"/>
          <w:color w:val="000000"/>
          <w:sz w:val="22"/>
        </w:rPr>
        <w:t>重庆百货：多业态自营+托管探索</w:t>
      </w:r>
    </w:p>
    <w:p>
      <w:pPr>
        <w:numPr>
          <w:ilvl w:val="0"/>
          <w:numId w:val="66"/>
        </w:numPr>
        <w:spacing w:before="0" w:after="0"/>
        <w:jc w:val="left"/>
      </w:pPr>
      <w:r>
        <w:rPr>
          <w:rFonts w:ascii="Times New Roman" w:hAnsi="Times New Roman"/>
          <w:b w:val="false"/>
          <w:i w:val="false"/>
          <w:color w:val="000000"/>
          <w:sz w:val="22"/>
        </w:rPr>
        <w:t>重庆百货通过联营、直采、自有品牌“重百优选”“宝源通”等提升供应链控制能力，自营品牌店4家开业以来销售接近</w:t>
      </w:r>
      <w:r>
        <w:rPr>
          <w:rFonts w:ascii="Times New Roman" w:hAnsi="Times New Roman"/>
          <w:b/>
          <w:i w:val="false"/>
          <w:color w:val="000000"/>
          <w:sz w:val="22"/>
        </w:rPr>
        <w:t>2,000万元</w:t>
      </w:r>
      <w:r>
        <w:rPr>
          <w:rFonts w:ascii="Times New Roman" w:hAnsi="Times New Roman"/>
          <w:b w:val="false"/>
          <w:i w:val="false"/>
          <w:color w:val="000000"/>
          <w:sz w:val="22"/>
        </w:rPr>
        <w:t>，供应链与自有品牌被视为核心竞争力之一。</w:t>
      </w:r>
    </w:p>
    <w:p>
      <w:pPr>
        <w:numPr>
          <w:ilvl w:val="0"/>
          <w:numId w:val="66"/>
        </w:numPr>
        <w:spacing w:before="0" w:after="0"/>
        <w:jc w:val="left"/>
      </w:pPr>
      <w:r>
        <w:rPr>
          <w:rFonts w:ascii="Times New Roman" w:hAnsi="Times New Roman"/>
          <w:b w:val="false"/>
          <w:i w:val="false"/>
          <w:color w:val="000000"/>
          <w:sz w:val="22"/>
        </w:rPr>
        <w:t>在门店调整上，一方面夯实Top10百货店，通过升级改造增强竞争力；另一方面尝试“城市奥莱+购物中心”模式，五一期间样板店销售增幅约</w:t>
      </w:r>
      <w:r>
        <w:rPr>
          <w:rFonts w:ascii="Times New Roman" w:hAnsi="Times New Roman"/>
          <w:b/>
          <w:i w:val="false"/>
          <w:color w:val="000000"/>
          <w:sz w:val="22"/>
        </w:rPr>
        <w:t>70%</w:t>
      </w:r>
      <w:r>
        <w:rPr>
          <w:rFonts w:ascii="Times New Roman" w:hAnsi="Times New Roman"/>
          <w:b w:val="false"/>
          <w:i w:val="false"/>
          <w:color w:val="000000"/>
          <w:sz w:val="22"/>
        </w:rPr>
        <w:t>，凸显其在调改上的经营弹性。</w:t>
      </w:r>
    </w:p>
    <w:p>
      <w:pPr>
        <w:numPr>
          <w:ilvl w:val="0"/>
          <w:numId w:val="66"/>
        </w:numPr>
        <w:spacing w:before="0" w:after="0"/>
        <w:jc w:val="left"/>
      </w:pPr>
      <w:r>
        <w:rPr>
          <w:rFonts w:ascii="Times New Roman" w:hAnsi="Times New Roman"/>
          <w:b w:val="false"/>
          <w:i w:val="false"/>
          <w:color w:val="000000"/>
          <w:sz w:val="22"/>
        </w:rPr>
        <w:t>同时尝试托管模式（不承担库存，但经营由自身团队完成），本质仍是“经营能力导向”的轻资产探索，而非单纯的收租。</w:t>
      </w:r>
    </w:p>
    <w:p>
      <w:pPr>
        <w:numPr>
          <w:ilvl w:val="0"/>
          <w:numId w:val="67"/>
        </w:numPr>
        <w:spacing w:before="0" w:after="0"/>
        <w:jc w:val="left"/>
      </w:pPr>
      <w:r>
        <w:rPr>
          <w:rFonts w:ascii="Times New Roman" w:hAnsi="Times New Roman"/>
          <w:b/>
          <w:i w:val="false"/>
          <w:color w:val="000000"/>
          <w:sz w:val="22"/>
        </w:rPr>
        <w:t>武商集团：中毛利+区域百货商超模式</w:t>
      </w:r>
    </w:p>
    <w:p>
      <w:pPr>
        <w:numPr>
          <w:ilvl w:val="0"/>
          <w:numId w:val="68"/>
        </w:numPr>
        <w:spacing w:before="0" w:after="0"/>
        <w:jc w:val="left"/>
      </w:pPr>
      <w:r>
        <w:rPr>
          <w:rFonts w:ascii="Times New Roman" w:hAnsi="Times New Roman"/>
          <w:b w:val="false"/>
          <w:i w:val="false"/>
          <w:color w:val="000000"/>
          <w:sz w:val="22"/>
        </w:rPr>
        <w:t>武商集团毛利率在</w:t>
      </w:r>
      <w:r>
        <w:rPr>
          <w:rFonts w:ascii="Times New Roman" w:hAnsi="Times New Roman"/>
          <w:b/>
          <w:i w:val="false"/>
          <w:color w:val="000000"/>
          <w:sz w:val="22"/>
        </w:rPr>
        <w:t>45%-49%</w:t>
      </w:r>
      <w:r>
        <w:rPr>
          <w:rFonts w:ascii="Times New Roman" w:hAnsi="Times New Roman"/>
          <w:b/>
          <w:i w:val="false"/>
          <w:color w:val="000000"/>
          <w:sz w:val="22"/>
        </w:rPr>
        <w:t>区间，ROE约</w:t>
      </w:r>
      <w:r>
        <w:rPr>
          <w:rFonts w:ascii="Times New Roman" w:hAnsi="Times New Roman"/>
          <w:b/>
          <w:i w:val="false"/>
          <w:color w:val="000000"/>
          <w:sz w:val="22"/>
        </w:rPr>
        <w:t>2%左右</w:t>
      </w:r>
      <w:r>
        <w:rPr>
          <w:rFonts w:ascii="Times New Roman" w:hAnsi="Times New Roman"/>
          <w:b w:val="false"/>
          <w:i w:val="false"/>
          <w:color w:val="000000"/>
          <w:sz w:val="22"/>
        </w:rPr>
        <w:t>，说明其仍是典型的区域百货/购物中心运营逻辑，运营效率与资本回报均逊于重庆百货，在与百大集团的“收租型模式”对比中缺乏优势。</w:t>
      </w:r>
    </w:p>
    <w:p>
      <w:pPr>
        <w:spacing w:before="269" w:after="269"/>
        <w:ind w:left="120"/>
        <w:jc w:val="left"/>
      </w:pPr>
      <w:r>
        <w:rPr>
          <w:rFonts w:ascii="Times New Roman" w:hAnsi="Times New Roman"/>
          <w:b/>
          <w:i w:val="false"/>
          <w:color w:val="000000"/>
          <w:sz w:val="22"/>
        </w:rPr>
        <w:t>小结：</w:t>
      </w:r>
      <w:r>
        <w:rPr>
          <w:rFonts w:ascii="Times New Roman" w:hAnsi="Times New Roman"/>
          <w:b/>
          <w:i w:val="false"/>
          <w:color w:val="000000"/>
          <w:sz w:val="22"/>
        </w:rPr>
        <w:t>百大集团在同业中呈现出</w:t>
      </w:r>
      <w:r>
        <w:rPr>
          <w:rFonts w:ascii="Times New Roman" w:hAnsi="Times New Roman"/>
          <w:b/>
          <w:i w:val="false"/>
          <w:color w:val="000000"/>
          <w:sz w:val="22"/>
        </w:rPr>
        <w:t>商业地产运营/持有型+轻资产委托管理</w:t>
      </w:r>
      <w:r>
        <w:rPr>
          <w:rFonts w:ascii="Times New Roman" w:hAnsi="Times New Roman"/>
          <w:b w:val="false"/>
          <w:i w:val="false"/>
          <w:color w:val="000000"/>
          <w:sz w:val="22"/>
        </w:rPr>
        <w:t>的复合结构，其盈利模式更接近“商业REITs+现金管理”，而重庆百货、武商集团仍然是“零售运营驱动+资产支撑”的传统商贸逻辑。投资者在估值体系上应区别对待：前者应更多采用资产收益率、租金现金流折现思路，后者应采用PE+同店增长+开店扩张思路。</w:t>
      </w:r>
    </w:p>
    <w:p>
      <w:pPr>
        <w:spacing w:before="180" w:after="180"/>
        <w:ind w:left="120"/>
        <w:jc w:val="left"/>
      </w:pPr>
      <w:r>
        <w:rPr>
          <w:rFonts w:ascii="Times New Roman" w:hAnsi="Times New Roman"/>
          <w:b/>
          <w:i w:val="false"/>
          <w:color w:val="000000"/>
          <w:sz w:val="33"/>
        </w:rPr>
        <w:t>4.2 杭州武林核心商圈：地理壁垒与恒隆加持下的价值重估</w:t>
      </w:r>
    </w:p>
    <w:p>
      <w:pPr>
        <w:spacing w:before="199" w:after="199"/>
        <w:ind w:left="120"/>
        <w:jc w:val="left"/>
      </w:pPr>
      <w:r>
        <w:rPr>
          <w:rFonts w:ascii="Times New Roman" w:hAnsi="Times New Roman"/>
          <w:b/>
          <w:i w:val="false"/>
          <w:color w:val="000000"/>
          <w:sz w:val="26"/>
        </w:rPr>
        <w:t>4.2.1 武林商圈：城市“零坐标”的稀缺商业母体</w:t>
      </w:r>
    </w:p>
    <w:p>
      <w:pPr>
        <w:spacing w:before="269" w:after="269"/>
        <w:ind w:left="120"/>
        <w:jc w:val="left"/>
      </w:pPr>
      <w:r>
        <w:rPr>
          <w:rFonts w:ascii="Times New Roman" w:hAnsi="Times New Roman"/>
          <w:b w:val="false"/>
          <w:i w:val="false"/>
          <w:color w:val="000000"/>
          <w:sz w:val="22"/>
        </w:rPr>
        <w:t>百大集团核心资产位于杭州市中心</w:t>
      </w:r>
      <w:r>
        <w:rPr>
          <w:rFonts w:ascii="Times New Roman" w:hAnsi="Times New Roman"/>
          <w:b/>
          <w:i w:val="false"/>
          <w:color w:val="000000"/>
          <w:sz w:val="22"/>
        </w:rPr>
        <w:t>武林广场南侧延安路546号</w:t>
      </w:r>
      <w:r>
        <w:rPr>
          <w:rFonts w:ascii="Times New Roman" w:hAnsi="Times New Roman"/>
          <w:b w:val="false"/>
          <w:i w:val="false"/>
          <w:color w:val="000000"/>
          <w:sz w:val="22"/>
        </w:rPr>
        <w:t>，这是杭州传统意义上的商业“零坐标”，周边聚集杭州大厦、杭州中心、国大城市广场、武林银泰百货等高端商业地标，形成杭州最高端的消费集中区。</w:t>
      </w:r>
    </w:p>
    <w:p>
      <w:pPr>
        <w:numPr>
          <w:ilvl w:val="0"/>
          <w:numId w:val="69"/>
        </w:numPr>
        <w:spacing w:before="0" w:after="0"/>
        <w:jc w:val="left"/>
      </w:pPr>
      <w:r>
        <w:rPr>
          <w:rFonts w:ascii="Times New Roman" w:hAnsi="Times New Roman"/>
          <w:b w:val="false"/>
          <w:i w:val="false"/>
          <w:color w:val="000000"/>
          <w:sz w:val="22"/>
        </w:rPr>
        <w:t>武林商圈存量商业土地极其稀缺。恒隆2018年以</w:t>
      </w:r>
      <w:r>
        <w:rPr>
          <w:rFonts w:ascii="Times New Roman" w:hAnsi="Times New Roman"/>
          <w:b/>
          <w:i w:val="false"/>
          <w:color w:val="000000"/>
          <w:sz w:val="22"/>
        </w:rPr>
        <w:t>107.3亿元</w:t>
      </w:r>
      <w:r>
        <w:rPr>
          <w:rFonts w:ascii="Times New Roman" w:hAnsi="Times New Roman"/>
          <w:b w:val="false"/>
          <w:i w:val="false"/>
          <w:color w:val="000000"/>
          <w:sz w:val="22"/>
        </w:rPr>
        <w:t>拿下百井坊地块，成交楼面价</w:t>
      </w:r>
      <w:r>
        <w:rPr>
          <w:rFonts w:ascii="Times New Roman" w:hAnsi="Times New Roman"/>
          <w:b/>
          <w:i w:val="false"/>
          <w:color w:val="000000"/>
          <w:sz w:val="22"/>
        </w:rPr>
        <w:t>5.53万元/平米</w:t>
      </w:r>
      <w:r>
        <w:rPr>
          <w:rFonts w:ascii="Times New Roman" w:hAnsi="Times New Roman"/>
          <w:b w:val="false"/>
          <w:i w:val="false"/>
          <w:color w:val="000000"/>
          <w:sz w:val="22"/>
        </w:rPr>
        <w:t>，溢价率高达</w:t>
      </w:r>
      <w:r>
        <w:rPr>
          <w:rFonts w:ascii="Times New Roman" w:hAnsi="Times New Roman"/>
          <w:b/>
          <w:i w:val="false"/>
          <w:color w:val="000000"/>
          <w:sz w:val="22"/>
        </w:rPr>
        <w:t>118.5%</w:t>
      </w:r>
      <w:r>
        <w:rPr>
          <w:rFonts w:ascii="Times New Roman" w:hAnsi="Times New Roman"/>
          <w:b w:val="false"/>
          <w:i w:val="false"/>
          <w:color w:val="000000"/>
          <w:sz w:val="22"/>
        </w:rPr>
        <w:t>，迄今仍是杭州商业用地最高单价，陈启宗称其为“杭州市中心的中心”。</w:t>
      </w:r>
    </w:p>
    <w:p>
      <w:pPr>
        <w:numPr>
          <w:ilvl w:val="0"/>
          <w:numId w:val="69"/>
        </w:numPr>
        <w:spacing w:before="0" w:after="0"/>
        <w:jc w:val="left"/>
      </w:pPr>
      <w:r>
        <w:rPr>
          <w:rFonts w:ascii="Times New Roman" w:hAnsi="Times New Roman"/>
          <w:b w:val="false"/>
          <w:i w:val="false"/>
          <w:color w:val="000000"/>
          <w:sz w:val="22"/>
        </w:rPr>
        <w:t>百井坊地块规划总楼面面积约</w:t>
      </w:r>
      <w:r>
        <w:rPr>
          <w:rFonts w:ascii="Times New Roman" w:hAnsi="Times New Roman"/>
          <w:b/>
          <w:i w:val="false"/>
          <w:color w:val="000000"/>
          <w:sz w:val="22"/>
        </w:rPr>
        <w:t>39万平米</w:t>
      </w:r>
      <w:r>
        <w:rPr>
          <w:rFonts w:ascii="Times New Roman" w:hAnsi="Times New Roman"/>
          <w:b w:val="false"/>
          <w:i w:val="false"/>
          <w:color w:val="000000"/>
          <w:sz w:val="22"/>
        </w:rPr>
        <w:t>，包含10万平米高端购物中心、五座甲级办公楼以及杭州文华东方酒店，项目定位为“华东地区豪华地标”。</w:t>
      </w:r>
    </w:p>
    <w:p>
      <w:pPr>
        <w:numPr>
          <w:ilvl w:val="0"/>
          <w:numId w:val="69"/>
        </w:numPr>
        <w:spacing w:before="0" w:after="0"/>
        <w:jc w:val="left"/>
      </w:pPr>
      <w:r>
        <w:rPr>
          <w:rFonts w:ascii="Times New Roman" w:hAnsi="Times New Roman"/>
          <w:b w:val="false"/>
          <w:i w:val="false"/>
          <w:color w:val="000000"/>
          <w:sz w:val="22"/>
        </w:rPr>
        <w:t>2024年杭州恒隆广场办公楼先行封顶，购物中心预计在</w:t>
      </w:r>
      <w:r>
        <w:rPr>
          <w:rFonts w:ascii="Times New Roman" w:hAnsi="Times New Roman"/>
          <w:b/>
          <w:i w:val="false"/>
          <w:color w:val="000000"/>
          <w:sz w:val="22"/>
        </w:rPr>
        <w:t>2025年末至2026年上半年</w:t>
      </w:r>
      <w:r>
        <w:rPr>
          <w:rFonts w:ascii="Times New Roman" w:hAnsi="Times New Roman"/>
          <w:b w:val="false"/>
          <w:i w:val="false"/>
          <w:color w:val="000000"/>
          <w:sz w:val="22"/>
        </w:rPr>
        <w:t>开业，将与杭州大厦、武林银泰形成高端商业集群。</w:t>
      </w:r>
    </w:p>
    <w:p>
      <w:pPr>
        <w:spacing w:before="269" w:after="269"/>
        <w:ind w:left="120"/>
        <w:jc w:val="left"/>
      </w:pPr>
      <w:r>
        <w:rPr>
          <w:rFonts w:ascii="Times New Roman" w:hAnsi="Times New Roman"/>
          <w:b w:val="false"/>
          <w:i w:val="false"/>
          <w:color w:val="000000"/>
          <w:sz w:val="22"/>
        </w:rPr>
        <w:t>对百大集团而言，这意味着其坐拥的杭州百货大楼南北楼物业，在武林商圈“豪华商业矩阵”中成为恒隆在地块外的关键延伸，</w:t>
      </w:r>
      <w:r>
        <w:rPr>
          <w:rFonts w:ascii="Times New Roman" w:hAnsi="Times New Roman"/>
          <w:b/>
          <w:i w:val="false"/>
          <w:color w:val="000000"/>
          <w:sz w:val="22"/>
        </w:rPr>
        <w:t>叠加恒隆的重奢招商能力，其物业价值和租金中枢具备系统性重估的条件</w:t>
      </w:r>
      <w:r>
        <w:rPr>
          <w:rFonts w:ascii="Times New Roman" w:hAnsi="Times New Roman"/>
          <w:b w:val="false"/>
          <w:i w:val="false"/>
          <w:color w:val="000000"/>
          <w:sz w:val="22"/>
        </w:rPr>
        <w:t>。</w:t>
      </w:r>
    </w:p>
    <w:p>
      <w:pPr>
        <w:spacing w:before="199" w:after="199"/>
        <w:ind w:left="120"/>
        <w:jc w:val="left"/>
      </w:pPr>
      <w:r>
        <w:rPr>
          <w:rFonts w:ascii="Times New Roman" w:hAnsi="Times New Roman"/>
          <w:b/>
          <w:i w:val="false"/>
          <w:color w:val="000000"/>
          <w:sz w:val="26"/>
        </w:rPr>
        <w:t>4.2.2 恒隆20年长约：锁定高增长租金现金流</w:t>
      </w:r>
    </w:p>
    <w:p>
      <w:pPr>
        <w:spacing w:before="269" w:after="269"/>
        <w:ind w:left="120"/>
        <w:jc w:val="left"/>
      </w:pPr>
      <w:r>
        <w:rPr>
          <w:rFonts w:ascii="Times New Roman" w:hAnsi="Times New Roman"/>
          <w:b w:val="false"/>
          <w:i w:val="false"/>
          <w:color w:val="000000"/>
          <w:sz w:val="22"/>
        </w:rPr>
        <w:t>根据租赁合同，恒隆自2028年4月1日起承租杭州百货大楼南、北楼约</w:t>
      </w:r>
      <w:r>
        <w:rPr>
          <w:rFonts w:ascii="Times New Roman" w:hAnsi="Times New Roman"/>
          <w:b/>
          <w:i w:val="false"/>
          <w:color w:val="000000"/>
          <w:sz w:val="22"/>
        </w:rPr>
        <w:t>4.2万平米</w:t>
      </w:r>
      <w:r>
        <w:rPr>
          <w:rFonts w:ascii="Times New Roman" w:hAnsi="Times New Roman"/>
          <w:b w:val="false"/>
          <w:i w:val="false"/>
          <w:color w:val="000000"/>
          <w:sz w:val="22"/>
        </w:rPr>
        <w:t>，租金标准</w:t>
      </w:r>
      <w:r>
        <w:rPr>
          <w:rFonts w:ascii="Times New Roman" w:hAnsi="Times New Roman"/>
          <w:b/>
          <w:i w:val="false"/>
          <w:color w:val="000000"/>
          <w:sz w:val="22"/>
        </w:rPr>
        <w:t>3,750万元/季度</w:t>
      </w:r>
      <w:r>
        <w:rPr>
          <w:rFonts w:ascii="Times New Roman" w:hAnsi="Times New Roman"/>
          <w:b w:val="false"/>
          <w:i w:val="false"/>
          <w:color w:val="000000"/>
          <w:sz w:val="22"/>
        </w:rPr>
        <w:t>，即每年</w:t>
      </w:r>
      <w:r>
        <w:rPr>
          <w:rFonts w:ascii="Times New Roman" w:hAnsi="Times New Roman"/>
          <w:b/>
          <w:i w:val="false"/>
          <w:color w:val="000000"/>
          <w:sz w:val="22"/>
        </w:rPr>
        <w:t>1.5亿元</w:t>
      </w:r>
      <w:r>
        <w:rPr>
          <w:rFonts w:ascii="Times New Roman" w:hAnsi="Times New Roman"/>
          <w:b w:val="false"/>
          <w:i w:val="false"/>
          <w:color w:val="000000"/>
          <w:sz w:val="22"/>
        </w:rPr>
        <w:t>，每三年在前一周期基础上递增</w:t>
      </w:r>
      <w:r>
        <w:rPr>
          <w:rFonts w:ascii="Times New Roman" w:hAnsi="Times New Roman"/>
          <w:b/>
          <w:i w:val="false"/>
          <w:color w:val="000000"/>
          <w:sz w:val="22"/>
        </w:rPr>
        <w:t>4.5%</w:t>
      </w:r>
      <w:r>
        <w:rPr>
          <w:rFonts w:ascii="Times New Roman" w:hAnsi="Times New Roman"/>
          <w:b w:val="false"/>
          <w:i w:val="false"/>
          <w:color w:val="000000"/>
          <w:sz w:val="22"/>
        </w:rPr>
        <w:t>，合同期限20年，恒隆地产提供最高</w:t>
      </w:r>
      <w:r>
        <w:rPr>
          <w:rFonts w:ascii="Times New Roman" w:hAnsi="Times New Roman"/>
          <w:b/>
          <w:i w:val="false"/>
          <w:color w:val="000000"/>
          <w:sz w:val="22"/>
        </w:rPr>
        <w:t>7.635亿元</w:t>
      </w:r>
      <w:r>
        <w:rPr>
          <w:rFonts w:ascii="Times New Roman" w:hAnsi="Times New Roman"/>
          <w:b w:val="false"/>
          <w:i w:val="false"/>
          <w:color w:val="000000"/>
          <w:sz w:val="22"/>
        </w:rPr>
        <w:t>担保。</w:t>
      </w:r>
    </w:p>
    <w:p>
      <w:pPr>
        <w:numPr>
          <w:ilvl w:val="0"/>
          <w:numId w:val="70"/>
        </w:numPr>
        <w:spacing w:before="0" w:after="0"/>
        <w:jc w:val="left"/>
      </w:pPr>
      <w:r>
        <w:rPr>
          <w:rFonts w:ascii="Times New Roman" w:hAnsi="Times New Roman"/>
          <w:b w:val="false"/>
          <w:i w:val="false"/>
          <w:color w:val="000000"/>
          <w:sz w:val="22"/>
        </w:rPr>
        <w:t>若不考虑折现，仅名义租金总额已超过</w:t>
      </w:r>
      <w:r>
        <w:rPr>
          <w:rFonts w:ascii="Times New Roman" w:hAnsi="Times New Roman"/>
          <w:b/>
          <w:i w:val="false"/>
          <w:color w:val="000000"/>
          <w:sz w:val="22"/>
        </w:rPr>
        <w:t>30亿元</w:t>
      </w:r>
      <w:r>
        <w:rPr>
          <w:rFonts w:ascii="Times New Roman" w:hAnsi="Times New Roman"/>
          <w:b w:val="false"/>
          <w:i w:val="false"/>
          <w:color w:val="000000"/>
          <w:sz w:val="22"/>
        </w:rPr>
        <w:t>，而递增条款叠加恒隆在重奢运营上的能力，20年期内租金现金流高度可见。</w:t>
      </w:r>
    </w:p>
    <w:p>
      <w:pPr>
        <w:numPr>
          <w:ilvl w:val="0"/>
          <w:numId w:val="70"/>
        </w:numPr>
        <w:spacing w:before="0" w:after="0"/>
        <w:jc w:val="left"/>
      </w:pPr>
      <w:r>
        <w:rPr>
          <w:rFonts w:ascii="Times New Roman" w:hAnsi="Times New Roman"/>
          <w:b w:val="false"/>
          <w:i w:val="false"/>
          <w:color w:val="000000"/>
          <w:sz w:val="22"/>
        </w:rPr>
        <w:t>当前百大集团整体营业收入约</w:t>
      </w:r>
      <w:r>
        <w:rPr>
          <w:rFonts w:ascii="Times New Roman" w:hAnsi="Times New Roman"/>
          <w:b/>
          <w:i w:val="false"/>
          <w:color w:val="000000"/>
          <w:sz w:val="22"/>
        </w:rPr>
        <w:t>1.94亿元</w:t>
      </w:r>
      <w:r>
        <w:rPr>
          <w:rFonts w:ascii="Times New Roman" w:hAnsi="Times New Roman"/>
          <w:b w:val="false"/>
          <w:i w:val="false"/>
          <w:color w:val="000000"/>
          <w:sz w:val="22"/>
        </w:rPr>
        <w:t>（2024年），而恒隆合同生效后，仅该单一资产每年租金即达</w:t>
      </w:r>
      <w:r>
        <w:rPr>
          <w:rFonts w:ascii="Times New Roman" w:hAnsi="Times New Roman"/>
          <w:b/>
          <w:i w:val="false"/>
          <w:color w:val="000000"/>
          <w:sz w:val="22"/>
        </w:rPr>
        <w:t>1.5亿元+递增</w:t>
      </w:r>
      <w:r>
        <w:rPr>
          <w:rFonts w:ascii="Times New Roman" w:hAnsi="Times New Roman"/>
          <w:b w:val="false"/>
          <w:i w:val="false"/>
          <w:color w:val="000000"/>
          <w:sz w:val="22"/>
        </w:rPr>
        <w:t>，</w:t>
      </w:r>
      <w:r>
        <w:rPr>
          <w:rFonts w:ascii="Times New Roman" w:hAnsi="Times New Roman"/>
          <w:b/>
          <w:i w:val="false"/>
          <w:color w:val="000000"/>
          <w:sz w:val="22"/>
        </w:rPr>
        <w:t>租金规模相当于当前总收入的7倍以上</w:t>
      </w:r>
      <w:r>
        <w:rPr>
          <w:rFonts w:ascii="Times New Roman" w:hAnsi="Times New Roman"/>
          <w:b w:val="false"/>
          <w:i w:val="false"/>
          <w:color w:val="000000"/>
          <w:sz w:val="22"/>
        </w:rPr>
        <w:t>，公司整体收入与利润结构将彻底“重构”为以租金为主的商业地产收益平台。</w:t>
      </w:r>
    </w:p>
    <w:p>
      <w:pPr>
        <w:spacing w:before="269" w:after="269"/>
        <w:ind w:left="120"/>
        <w:jc w:val="left"/>
      </w:pPr>
      <w:r>
        <w:rPr>
          <w:rFonts w:ascii="Times New Roman" w:hAnsi="Times New Roman"/>
          <w:b w:val="false"/>
          <w:i w:val="false"/>
          <w:color w:val="000000"/>
          <w:sz w:val="22"/>
        </w:rPr>
        <w:t>从行业角度看，2024年百大购物中心样本平均租金为</w:t>
      </w:r>
      <w:r>
        <w:rPr>
          <w:rFonts w:ascii="Times New Roman" w:hAnsi="Times New Roman"/>
          <w:b/>
          <w:i w:val="false"/>
          <w:color w:val="000000"/>
          <w:sz w:val="22"/>
        </w:rPr>
        <w:t>27.17元/平米/天</w:t>
      </w:r>
      <w:r>
        <w:rPr>
          <w:rFonts w:ascii="Times New Roman" w:hAnsi="Times New Roman"/>
          <w:b w:val="false"/>
          <w:i w:val="false"/>
          <w:color w:val="000000"/>
          <w:sz w:val="22"/>
        </w:rPr>
        <w:t>，头部购物中心出租率超过</w:t>
      </w:r>
      <w:r>
        <w:rPr>
          <w:rFonts w:ascii="Times New Roman" w:hAnsi="Times New Roman"/>
          <w:b/>
          <w:i w:val="false"/>
          <w:color w:val="000000"/>
          <w:sz w:val="22"/>
        </w:rPr>
        <w:t>95%</w:t>
      </w:r>
      <w:r>
        <w:rPr>
          <w:rFonts w:ascii="Times New Roman" w:hAnsi="Times New Roman"/>
          <w:b w:val="false"/>
          <w:i w:val="false"/>
          <w:color w:val="000000"/>
          <w:sz w:val="22"/>
        </w:rPr>
        <w:t>；商业地产REITs中，购物中心类项目出租率稳定、租金随消费复苏缓慢上行，是兼具成长性和股息率的优质资产。</w:t>
      </w:r>
    </w:p>
    <w:p>
      <w:pPr>
        <w:spacing w:before="269" w:after="269"/>
        <w:ind w:left="120"/>
        <w:jc w:val="left"/>
      </w:pPr>
      <w:r>
        <w:rPr>
          <w:rFonts w:ascii="Times New Roman" w:hAnsi="Times New Roman"/>
          <w:b w:val="false"/>
          <w:i w:val="false"/>
          <w:color w:val="000000"/>
          <w:sz w:val="22"/>
        </w:rPr>
        <w:t>武林商圈在2025-2026年将迎来恒隆等新项目开业，叠加政策对消费与商业地产资本化（REITs）的支持，市场普遍期待</w:t>
      </w:r>
      <w:r>
        <w:rPr>
          <w:rFonts w:ascii="Times New Roman" w:hAnsi="Times New Roman"/>
          <w:b/>
          <w:i w:val="false"/>
          <w:color w:val="000000"/>
          <w:sz w:val="22"/>
        </w:rPr>
        <w:t>核心资产价值重估</w:t>
      </w:r>
      <w:r>
        <w:rPr>
          <w:rFonts w:ascii="Times New Roman" w:hAnsi="Times New Roman"/>
          <w:b w:val="false"/>
          <w:i w:val="false"/>
          <w:color w:val="000000"/>
          <w:sz w:val="22"/>
        </w:rPr>
        <w:t>，包括华润置地、新城控股、恒隆地产等头部运营商也被建议从“商业资产价值+长期租金现金流”视角重估。</w:t>
      </w:r>
    </w:p>
    <w:p>
      <w:pPr>
        <w:spacing w:before="269" w:after="269"/>
        <w:ind w:left="120"/>
        <w:jc w:val="left"/>
      </w:pPr>
      <w:r>
        <w:rPr>
          <w:rFonts w:ascii="Times New Roman" w:hAnsi="Times New Roman"/>
          <w:b w:val="false"/>
          <w:i w:val="false"/>
          <w:color w:val="000000"/>
          <w:sz w:val="22"/>
        </w:rPr>
        <w:t>在此框架下，百大集团的独特之处在于：</w:t>
      </w:r>
    </w:p>
    <w:p>
      <w:pPr>
        <w:numPr>
          <w:ilvl w:val="0"/>
          <w:numId w:val="71"/>
        </w:numPr>
        <w:spacing w:before="0" w:after="0"/>
        <w:jc w:val="left"/>
      </w:pPr>
      <w:r>
        <w:rPr>
          <w:rFonts w:ascii="Times New Roman" w:hAnsi="Times New Roman"/>
          <w:b w:val="false"/>
          <w:i w:val="false"/>
          <w:color w:val="000000"/>
          <w:sz w:val="22"/>
        </w:rPr>
        <w:t>自身无大规模开发业务的资本开支压力，也无高杠杆负债负担；</w:t>
      </w:r>
    </w:p>
    <w:p>
      <w:pPr>
        <w:numPr>
          <w:ilvl w:val="0"/>
          <w:numId w:val="71"/>
        </w:numPr>
        <w:spacing w:before="0" w:after="0"/>
        <w:jc w:val="left"/>
      </w:pPr>
      <w:r>
        <w:rPr>
          <w:rFonts w:ascii="Times New Roman" w:hAnsi="Times New Roman"/>
          <w:b w:val="false"/>
          <w:i w:val="false"/>
          <w:color w:val="000000"/>
          <w:sz w:val="22"/>
        </w:rPr>
        <w:t>却凭借核心地段自持物业，直接分享恒隆高端项目的</w:t>
      </w:r>
      <w:r>
        <w:rPr>
          <w:rFonts w:ascii="Times New Roman" w:hAnsi="Times New Roman"/>
          <w:b/>
          <w:i w:val="false"/>
          <w:color w:val="000000"/>
          <w:sz w:val="22"/>
        </w:rPr>
        <w:t>租金溢价与客流外溢</w:t>
      </w:r>
      <w:r>
        <w:rPr>
          <w:rFonts w:ascii="Times New Roman" w:hAnsi="Times New Roman"/>
          <w:b w:val="false"/>
          <w:i w:val="false"/>
          <w:color w:val="000000"/>
          <w:sz w:val="22"/>
        </w:rPr>
        <w:t>；</w:t>
      </w:r>
    </w:p>
    <w:p>
      <w:pPr>
        <w:numPr>
          <w:ilvl w:val="0"/>
          <w:numId w:val="71"/>
        </w:numPr>
        <w:spacing w:before="0" w:after="0"/>
        <w:jc w:val="left"/>
      </w:pPr>
      <w:r>
        <w:rPr>
          <w:rFonts w:ascii="Times New Roman" w:hAnsi="Times New Roman"/>
          <w:b w:val="false"/>
          <w:i w:val="false"/>
          <w:color w:val="000000"/>
          <w:sz w:val="22"/>
        </w:rPr>
        <w:t>资产端极有机会在后续消费REITs扩容、地方国企商业资产证券化背景下，作为</w:t>
      </w:r>
      <w:r>
        <w:rPr>
          <w:rFonts w:ascii="Times New Roman" w:hAnsi="Times New Roman"/>
          <w:b/>
          <w:i w:val="false"/>
          <w:color w:val="000000"/>
          <w:sz w:val="22"/>
        </w:rPr>
        <w:t>高品质消费基础设施</w:t>
      </w:r>
      <w:r>
        <w:rPr>
          <w:rFonts w:ascii="Times New Roman" w:hAnsi="Times New Roman"/>
          <w:b w:val="false"/>
          <w:i w:val="false"/>
          <w:color w:val="000000"/>
          <w:sz w:val="22"/>
        </w:rPr>
        <w:t>进入资本化通道。</w:t>
      </w:r>
    </w:p>
    <w:p>
      <w:pPr>
        <w:spacing w:before="269" w:after="269"/>
        <w:ind w:left="120"/>
        <w:jc w:val="left"/>
      </w:pPr>
      <w:r>
        <w:rPr>
          <w:rFonts w:ascii="Times New Roman" w:hAnsi="Times New Roman"/>
          <w:b/>
          <w:i w:val="false"/>
          <w:color w:val="000000"/>
          <w:sz w:val="22"/>
        </w:rPr>
        <w:t>判断：</w:t>
      </w:r>
      <w:r>
        <w:rPr>
          <w:rFonts w:ascii="Times New Roman" w:hAnsi="Times New Roman"/>
          <w:b/>
          <w:i w:val="false"/>
          <w:color w:val="000000"/>
          <w:sz w:val="22"/>
        </w:rPr>
        <w:t>杭州武林商圈与恒隆深度绑定，为百大集团奠定了</w:t>
      </w:r>
      <w:r>
        <w:rPr>
          <w:rFonts w:ascii="Times New Roman" w:hAnsi="Times New Roman"/>
          <w:b/>
          <w:i w:val="false"/>
          <w:color w:val="000000"/>
          <w:sz w:val="22"/>
        </w:rPr>
        <w:t>不可复制的地理护城河和长期租金成长性</w:t>
      </w:r>
      <w:r>
        <w:rPr>
          <w:rFonts w:ascii="Times New Roman" w:hAnsi="Times New Roman"/>
          <w:b w:val="false"/>
          <w:i w:val="false"/>
          <w:color w:val="000000"/>
          <w:sz w:val="22"/>
        </w:rPr>
        <w:t>，这是其在同业中最具差异化的优势，也是2025-2026年投资逻辑的核心锚点之一。</w:t>
      </w:r>
    </w:p>
    <w:p>
      <w:pPr>
        <w:spacing w:before="180" w:after="180"/>
        <w:ind w:left="120"/>
        <w:jc w:val="left"/>
      </w:pPr>
      <w:r>
        <w:rPr>
          <w:rFonts w:ascii="Times New Roman" w:hAnsi="Times New Roman"/>
          <w:b/>
          <w:i w:val="false"/>
          <w:color w:val="000000"/>
          <w:sz w:val="33"/>
        </w:rPr>
        <w:t>4.3 轻资产托管模式 vs 同行直营模式：周期波动下的韧性比较</w:t>
      </w:r>
    </w:p>
    <w:p>
      <w:pPr>
        <w:spacing w:before="199" w:after="199"/>
        <w:ind w:left="120"/>
        <w:jc w:val="left"/>
      </w:pPr>
      <w:r>
        <w:rPr>
          <w:rFonts w:ascii="Times New Roman" w:hAnsi="Times New Roman"/>
          <w:b/>
          <w:i w:val="false"/>
          <w:color w:val="000000"/>
          <w:sz w:val="26"/>
        </w:rPr>
        <w:t>4.3.1 百大集团托管/租赁模式的防御属性</w:t>
      </w:r>
    </w:p>
    <w:p>
      <w:pPr>
        <w:spacing w:before="269" w:after="269"/>
        <w:ind w:left="120"/>
        <w:jc w:val="left"/>
      </w:pPr>
      <w:r>
        <w:rPr>
          <w:rFonts w:ascii="Times New Roman" w:hAnsi="Times New Roman"/>
          <w:b w:val="false"/>
          <w:i w:val="false"/>
          <w:color w:val="000000"/>
          <w:sz w:val="22"/>
        </w:rPr>
        <w:t>百大集团自2008年起将杭州百货大楼委托银泰百货经营20年，每年收取稳定委托管理利润；公司管理层在2025年业绩说明会上强调，当前财务状况优秀、现金流充足，截至2025年三季度末委托理财及账上现金合计逾</w:t>
      </w:r>
      <w:r>
        <w:rPr>
          <w:rFonts w:ascii="Times New Roman" w:hAnsi="Times New Roman"/>
          <w:b/>
          <w:i w:val="false"/>
          <w:color w:val="000000"/>
          <w:sz w:val="22"/>
        </w:rPr>
        <w:t>10亿元</w:t>
      </w:r>
      <w:r>
        <w:rPr>
          <w:rFonts w:ascii="Times New Roman" w:hAnsi="Times New Roman"/>
          <w:b w:val="false"/>
          <w:i w:val="false"/>
          <w:color w:val="000000"/>
          <w:sz w:val="22"/>
        </w:rPr>
        <w:t>，传统业务每年有稳定委托管理利润及租金收益。</w:t>
      </w:r>
    </w:p>
    <w:p>
      <w:pPr>
        <w:spacing w:before="269" w:after="269"/>
        <w:ind w:left="120"/>
        <w:jc w:val="left"/>
      </w:pPr>
      <w:r>
        <w:rPr>
          <w:rFonts w:ascii="Times New Roman" w:hAnsi="Times New Roman"/>
          <w:b w:val="false"/>
          <w:i w:val="false"/>
          <w:color w:val="000000"/>
          <w:sz w:val="22"/>
        </w:rPr>
        <w:t>这类模式本质上与华润万象生活、万达商管等头部商管企业的轻资产管理有共通之处：</w:t>
      </w:r>
    </w:p>
    <w:p>
      <w:pPr>
        <w:numPr>
          <w:ilvl w:val="0"/>
          <w:numId w:val="72"/>
        </w:numPr>
        <w:spacing w:before="0" w:after="0"/>
        <w:jc w:val="left"/>
      </w:pPr>
      <w:r>
        <w:rPr>
          <w:rFonts w:ascii="Times New Roman" w:hAnsi="Times New Roman"/>
          <w:b/>
          <w:i w:val="false"/>
          <w:color w:val="000000"/>
          <w:sz w:val="22"/>
        </w:rPr>
        <w:t>收入来源固定且与租金挂钩</w:t>
      </w:r>
      <w:r>
        <w:rPr>
          <w:rFonts w:ascii="Times New Roman" w:hAnsi="Times New Roman"/>
          <w:b w:val="false"/>
          <w:i w:val="false"/>
          <w:color w:val="000000"/>
          <w:sz w:val="22"/>
        </w:rPr>
        <w:t>：华润万象生活的商业运营毛利率高达</w:t>
      </w:r>
      <w:r>
        <w:rPr>
          <w:rFonts w:ascii="Times New Roman" w:hAnsi="Times New Roman"/>
          <w:b/>
          <w:i w:val="false"/>
          <w:color w:val="000000"/>
          <w:sz w:val="22"/>
        </w:rPr>
        <w:t>78.4%</w:t>
      </w:r>
      <w:r>
        <w:rPr>
          <w:rFonts w:ascii="Times New Roman" w:hAnsi="Times New Roman"/>
          <w:b w:val="false"/>
          <w:i w:val="false"/>
          <w:color w:val="000000"/>
          <w:sz w:val="22"/>
        </w:rPr>
        <w:t>，轻资产模式无需投资开发成本，主要承担人力成本，利润端弹性较大且资金占用小。</w:t>
      </w:r>
    </w:p>
    <w:p>
      <w:pPr>
        <w:numPr>
          <w:ilvl w:val="0"/>
          <w:numId w:val="72"/>
        </w:numPr>
        <w:spacing w:before="0" w:after="0"/>
        <w:jc w:val="left"/>
      </w:pPr>
      <w:r>
        <w:rPr>
          <w:rFonts w:ascii="Times New Roman" w:hAnsi="Times New Roman"/>
          <w:b w:val="false"/>
          <w:i w:val="false"/>
          <w:color w:val="000000"/>
          <w:sz w:val="22"/>
        </w:rPr>
        <w:t>轻资产商管公司现金流稳健，2024H1华润万象生活收入与归母净利分别同比+17.1%和+36.0%，派息率接近</w:t>
      </w:r>
      <w:r>
        <w:rPr>
          <w:rFonts w:ascii="Times New Roman" w:hAnsi="Times New Roman"/>
          <w:b/>
          <w:i w:val="false"/>
          <w:color w:val="000000"/>
          <w:sz w:val="22"/>
        </w:rPr>
        <w:t>100%</w:t>
      </w:r>
      <w:r>
        <w:rPr>
          <w:rFonts w:ascii="Times New Roman" w:hAnsi="Times New Roman"/>
          <w:b w:val="false"/>
          <w:i w:val="false"/>
          <w:color w:val="000000"/>
          <w:sz w:val="22"/>
        </w:rPr>
        <w:t>，典型高股息+稳健成长组合。</w:t>
      </w:r>
    </w:p>
    <w:p>
      <w:pPr>
        <w:spacing w:before="269" w:after="269"/>
        <w:ind w:left="120"/>
        <w:jc w:val="left"/>
      </w:pPr>
      <w:r>
        <w:rPr>
          <w:rFonts w:ascii="Times New Roman" w:hAnsi="Times New Roman"/>
          <w:b w:val="false"/>
          <w:i w:val="false"/>
          <w:color w:val="000000"/>
          <w:sz w:val="22"/>
        </w:rPr>
        <w:t>百大集团虽然不是标准商管公司，但在核心资产上，通过长期委托/租赁，将</w:t>
      </w:r>
      <w:r>
        <w:rPr>
          <w:rFonts w:ascii="Times New Roman" w:hAnsi="Times New Roman"/>
          <w:b/>
          <w:i w:val="false"/>
          <w:color w:val="000000"/>
          <w:sz w:val="22"/>
        </w:rPr>
        <w:t>经营波动与库存风险外包给运营商（银泰、恒隆）</w:t>
      </w:r>
      <w:r>
        <w:rPr>
          <w:rFonts w:ascii="Times New Roman" w:hAnsi="Times New Roman"/>
          <w:b w:val="false"/>
          <w:i w:val="false"/>
          <w:color w:val="000000"/>
          <w:sz w:val="22"/>
        </w:rPr>
        <w:t>，自身则获取相对刚性的租金/托管收益，本质上是</w:t>
      </w:r>
      <w:r>
        <w:rPr>
          <w:rFonts w:ascii="Times New Roman" w:hAnsi="Times New Roman"/>
          <w:b/>
          <w:i w:val="false"/>
          <w:color w:val="000000"/>
          <w:sz w:val="22"/>
        </w:rPr>
        <w:t>重资产持有+轻资产收益</w:t>
      </w:r>
      <w:r>
        <w:rPr>
          <w:rFonts w:ascii="Times New Roman" w:hAnsi="Times New Roman"/>
          <w:b w:val="false"/>
          <w:i w:val="false"/>
          <w:color w:val="000000"/>
          <w:sz w:val="22"/>
        </w:rPr>
        <w:t>的混合体。</w:t>
      </w:r>
    </w:p>
    <w:p>
      <w:pPr>
        <w:spacing w:before="269" w:after="269"/>
        <w:ind w:left="120"/>
        <w:jc w:val="left"/>
      </w:pPr>
      <w:r>
        <w:rPr>
          <w:rFonts w:ascii="Times New Roman" w:hAnsi="Times New Roman"/>
          <w:b w:val="false"/>
          <w:i w:val="false"/>
          <w:color w:val="000000"/>
          <w:sz w:val="22"/>
        </w:rPr>
        <w:t>在经济下行、消费疲软阶段：</w:t>
      </w:r>
    </w:p>
    <w:p>
      <w:pPr>
        <w:numPr>
          <w:ilvl w:val="0"/>
          <w:numId w:val="73"/>
        </w:numPr>
        <w:spacing w:before="0" w:after="0"/>
        <w:jc w:val="left"/>
      </w:pPr>
      <w:r>
        <w:rPr>
          <w:rFonts w:ascii="Times New Roman" w:hAnsi="Times New Roman"/>
          <w:b w:val="false"/>
          <w:i w:val="false"/>
          <w:color w:val="000000"/>
          <w:sz w:val="22"/>
        </w:rPr>
        <w:t>自营百货/超市企业需承担客流下降、毛利下滑、库存减值、调改投入等多重压力，ROE和利润弹性显著放大，如步步高、永辉等需通过大规模关店、调改来对冲压力。</w:t>
      </w:r>
    </w:p>
    <w:p>
      <w:pPr>
        <w:numPr>
          <w:ilvl w:val="0"/>
          <w:numId w:val="73"/>
        </w:numPr>
        <w:spacing w:before="0" w:after="0"/>
        <w:jc w:val="left"/>
      </w:pPr>
      <w:r>
        <w:rPr>
          <w:rFonts w:ascii="Times New Roman" w:hAnsi="Times New Roman"/>
          <w:b w:val="false"/>
          <w:i w:val="false"/>
          <w:color w:val="000000"/>
          <w:sz w:val="22"/>
        </w:rPr>
        <w:t>轻资产商管及收租型企业则在租金定价、租售比均值回归、运营效率提升的背景下，租金与净利润往往仅温和波动，甚至在商圈集中度提升时受益于品牌集聚与客流向头部集中，表现出**“强者恒强”的逆势韧性**。</w:t>
      </w:r>
    </w:p>
    <w:p>
      <w:pPr>
        <w:spacing w:before="269" w:after="269"/>
        <w:ind w:left="120"/>
        <w:jc w:val="left"/>
      </w:pPr>
      <w:r>
        <w:rPr>
          <w:rFonts w:ascii="Times New Roman" w:hAnsi="Times New Roman"/>
          <w:b w:val="false"/>
          <w:i w:val="false"/>
          <w:color w:val="000000"/>
          <w:sz w:val="22"/>
        </w:rPr>
        <w:t>结合行业研究，重资产持有的开发/运营一体化企业在周期下行时受杠杆和资产价格波动影响较大，而以轻资产管理/收租为主体的公司，则因资产负债表更“干净”、现金流对周期敏感度较低而在估值上享有溢价。</w:t>
      </w:r>
    </w:p>
    <w:p>
      <w:pPr>
        <w:spacing w:before="199" w:after="199"/>
        <w:ind w:left="120"/>
        <w:jc w:val="left"/>
      </w:pPr>
      <w:r>
        <w:rPr>
          <w:rFonts w:ascii="Times New Roman" w:hAnsi="Times New Roman"/>
          <w:b/>
          <w:i w:val="false"/>
          <w:color w:val="000000"/>
          <w:sz w:val="26"/>
        </w:rPr>
        <w:t>4.3.2 同行直营/自营模式的弹性与风险</w:t>
      </w:r>
    </w:p>
    <w:p>
      <w:pPr>
        <w:spacing w:before="269" w:after="269"/>
        <w:ind w:left="120"/>
        <w:jc w:val="left"/>
      </w:pPr>
      <w:r>
        <w:rPr>
          <w:rFonts w:ascii="Times New Roman" w:hAnsi="Times New Roman"/>
          <w:b w:val="false"/>
          <w:i w:val="false"/>
          <w:color w:val="000000"/>
          <w:sz w:val="22"/>
        </w:rPr>
        <w:t>重庆百货、步步高、汇嘉时代等区域龙头百货/商超企业更多依靠自营和调改提升业绩：</w:t>
      </w:r>
    </w:p>
    <w:p>
      <w:pPr>
        <w:numPr>
          <w:ilvl w:val="0"/>
          <w:numId w:val="74"/>
        </w:numPr>
        <w:spacing w:before="0" w:after="0"/>
        <w:jc w:val="left"/>
      </w:pPr>
      <w:r>
        <w:rPr>
          <w:rFonts w:ascii="Times New Roman" w:hAnsi="Times New Roman"/>
          <w:b w:val="false"/>
          <w:i w:val="false"/>
          <w:color w:val="000000"/>
          <w:sz w:val="22"/>
        </w:rPr>
        <w:t>重庆百货通过“联合生意计划”、自有品牌、城市奥莱+购物中心改造，在单店调改后五一期间销售增速达</w:t>
      </w:r>
      <w:r>
        <w:rPr>
          <w:rFonts w:ascii="Times New Roman" w:hAnsi="Times New Roman"/>
          <w:b/>
          <w:i w:val="false"/>
          <w:color w:val="000000"/>
          <w:sz w:val="22"/>
        </w:rPr>
        <w:t>70%</w:t>
      </w:r>
      <w:r>
        <w:rPr>
          <w:rFonts w:ascii="Times New Roman" w:hAnsi="Times New Roman"/>
          <w:b w:val="false"/>
          <w:i w:val="false"/>
          <w:color w:val="000000"/>
          <w:sz w:val="22"/>
        </w:rPr>
        <w:t>，证明其在经营修复期具有极强的盈利弹性；但同时需持续投入资本开支与营销费用，且业绩对终端客流与消费情绪高度敏感。</w:t>
      </w:r>
    </w:p>
    <w:p>
      <w:pPr>
        <w:numPr>
          <w:ilvl w:val="0"/>
          <w:numId w:val="74"/>
        </w:numPr>
        <w:spacing w:before="0" w:after="0"/>
        <w:jc w:val="left"/>
      </w:pPr>
      <w:r>
        <w:rPr>
          <w:rFonts w:ascii="Times New Roman" w:hAnsi="Times New Roman"/>
          <w:b w:val="false"/>
          <w:i w:val="false"/>
          <w:color w:val="000000"/>
          <w:sz w:val="22"/>
        </w:rPr>
        <w:t>步步高则依托胖东来调改，2024年超市调改门店13家、关闭门店69家，百货板块毛利率提升至</w:t>
      </w:r>
      <w:r>
        <w:rPr>
          <w:rFonts w:ascii="Times New Roman" w:hAnsi="Times New Roman"/>
          <w:b/>
          <w:i w:val="false"/>
          <w:color w:val="000000"/>
          <w:sz w:val="22"/>
        </w:rPr>
        <w:t>65%以上</w:t>
      </w:r>
      <w:r>
        <w:rPr>
          <w:rFonts w:ascii="Times New Roman" w:hAnsi="Times New Roman"/>
          <w:b w:val="false"/>
          <w:i w:val="false"/>
          <w:color w:val="000000"/>
          <w:sz w:val="22"/>
        </w:rPr>
        <w:t>，客流同比增长15%，但背后是较大的调改成本与经营波动，净利润受重整收益、资产减值等非经常性因素影响较大。</w:t>
      </w:r>
    </w:p>
    <w:p>
      <w:pPr>
        <w:numPr>
          <w:ilvl w:val="0"/>
          <w:numId w:val="74"/>
        </w:numPr>
        <w:spacing w:before="0" w:after="0"/>
        <w:jc w:val="left"/>
      </w:pPr>
      <w:r>
        <w:rPr>
          <w:rFonts w:ascii="Times New Roman" w:hAnsi="Times New Roman"/>
          <w:b w:val="false"/>
          <w:i w:val="false"/>
          <w:color w:val="000000"/>
          <w:sz w:val="22"/>
        </w:rPr>
        <w:t>汇嘉时代等区域百货虽然也在推进轻资产托管和自有物业运营，但其自营门店仍承担较大的资本占用与经营风险。</w:t>
      </w:r>
    </w:p>
    <w:p>
      <w:pPr>
        <w:spacing w:before="269" w:after="269"/>
        <w:ind w:left="120"/>
        <w:jc w:val="left"/>
      </w:pPr>
      <w:r>
        <w:rPr>
          <w:rFonts w:ascii="Times New Roman" w:hAnsi="Times New Roman"/>
          <w:b w:val="false"/>
          <w:i w:val="false"/>
          <w:color w:val="000000"/>
          <w:sz w:val="22"/>
        </w:rPr>
        <w:t>与之相比，百大集团在武林核心资产上，不参与具体经营，仅承担物业运营及维护成本，收入主要由委托管理利润和租金构成，</w:t>
      </w:r>
      <w:r>
        <w:rPr>
          <w:rFonts w:ascii="Times New Roman" w:hAnsi="Times New Roman"/>
          <w:b/>
          <w:i w:val="false"/>
          <w:color w:val="000000"/>
          <w:sz w:val="22"/>
        </w:rPr>
        <w:t>对周期波动的敏感度显著低于以自营销售为主的同行</w:t>
      </w:r>
      <w:r>
        <w:rPr>
          <w:rFonts w:ascii="Times New Roman" w:hAnsi="Times New Roman"/>
          <w:b w:val="false"/>
          <w:i w:val="false"/>
          <w:color w:val="000000"/>
          <w:sz w:val="22"/>
        </w:rPr>
        <w:t>。</w:t>
      </w:r>
    </w:p>
    <w:p>
      <w:pPr>
        <w:spacing w:before="199" w:after="199"/>
        <w:ind w:left="120"/>
        <w:jc w:val="left"/>
      </w:pPr>
      <w:r>
        <w:rPr>
          <w:rFonts w:ascii="Times New Roman" w:hAnsi="Times New Roman"/>
          <w:b/>
          <w:i w:val="false"/>
          <w:color w:val="000000"/>
          <w:sz w:val="26"/>
        </w:rPr>
        <w:t>4.3.3 “轻资产收益+重资产持有”的双重护城河</w:t>
      </w:r>
    </w:p>
    <w:p>
      <w:pPr>
        <w:spacing w:before="269" w:after="269"/>
        <w:ind w:left="120"/>
        <w:jc w:val="left"/>
      </w:pPr>
      <w:r>
        <w:rPr>
          <w:rFonts w:ascii="Times New Roman" w:hAnsi="Times New Roman"/>
          <w:b w:val="false"/>
          <w:i w:val="false"/>
          <w:color w:val="000000"/>
          <w:sz w:val="22"/>
        </w:rPr>
        <w:t>综合前文分析，可将百大集团的护城河拆解为两层：</w:t>
      </w:r>
    </w:p>
    <w:p>
      <w:pPr>
        <w:numPr>
          <w:ilvl w:val="0"/>
          <w:numId w:val="75"/>
        </w:numPr>
        <w:spacing w:before="0" w:after="0"/>
        <w:jc w:val="left"/>
      </w:pPr>
      <w:r>
        <w:rPr>
          <w:rFonts w:ascii="Times New Roman" w:hAnsi="Times New Roman"/>
          <w:b/>
          <w:i w:val="false"/>
          <w:color w:val="000000"/>
          <w:sz w:val="22"/>
        </w:rPr>
        <w:t>底层资产护城河：武林商圈稀缺商业物业</w:t>
      </w:r>
    </w:p>
    <w:p>
      <w:pPr>
        <w:numPr>
          <w:ilvl w:val="0"/>
          <w:numId w:val="76"/>
        </w:numPr>
        <w:spacing w:before="0" w:after="0"/>
        <w:jc w:val="left"/>
      </w:pPr>
      <w:r>
        <w:rPr>
          <w:rFonts w:ascii="Times New Roman" w:hAnsi="Times New Roman"/>
          <w:b w:val="false"/>
          <w:i w:val="false"/>
          <w:color w:val="000000"/>
          <w:sz w:val="22"/>
        </w:rPr>
        <w:t>高重置成本+恒隆重奢项目带来的品牌溢价，使得物业本身具备</w:t>
      </w:r>
      <w:r>
        <w:rPr>
          <w:rFonts w:ascii="Times New Roman" w:hAnsi="Times New Roman"/>
          <w:b/>
          <w:i w:val="false"/>
          <w:color w:val="000000"/>
          <w:sz w:val="22"/>
        </w:rPr>
        <w:t>长期升值与REITs化潜力</w:t>
      </w:r>
      <w:r>
        <w:rPr>
          <w:rFonts w:ascii="Times New Roman" w:hAnsi="Times New Roman"/>
          <w:b w:val="false"/>
          <w:i w:val="false"/>
          <w:color w:val="000000"/>
          <w:sz w:val="22"/>
        </w:rPr>
        <w:t>。</w:t>
      </w:r>
    </w:p>
    <w:p>
      <w:pPr>
        <w:numPr>
          <w:ilvl w:val="0"/>
          <w:numId w:val="77"/>
        </w:numPr>
        <w:spacing w:before="0" w:after="0"/>
        <w:jc w:val="left"/>
      </w:pPr>
      <w:r>
        <w:rPr>
          <w:rFonts w:ascii="Times New Roman" w:hAnsi="Times New Roman"/>
          <w:b/>
          <w:i w:val="false"/>
          <w:color w:val="000000"/>
          <w:sz w:val="22"/>
        </w:rPr>
        <w:t>收益结构护城河：托管/租赁模式下的强现金流与低波动</w:t>
      </w:r>
    </w:p>
    <w:p>
      <w:pPr>
        <w:numPr>
          <w:ilvl w:val="0"/>
          <w:numId w:val="78"/>
        </w:numPr>
        <w:spacing w:before="0" w:after="0"/>
        <w:jc w:val="left"/>
      </w:pPr>
      <w:r>
        <w:rPr>
          <w:rFonts w:ascii="Times New Roman" w:hAnsi="Times New Roman"/>
          <w:b w:val="false"/>
          <w:i w:val="false"/>
          <w:color w:val="000000"/>
          <w:sz w:val="22"/>
        </w:rPr>
        <w:t>杭州百货大楼委托银泰经营20年，带来高毛利托管收益；2028年起恒隆租赁合同锁定20年递增租金，在经济周期波动中，现金流可见性与稳定性远高于自营零售模式。</w:t>
      </w:r>
    </w:p>
    <w:p>
      <w:pPr>
        <w:spacing w:before="269" w:after="269"/>
        <w:ind w:left="120"/>
        <w:jc w:val="left"/>
      </w:pPr>
      <w:r>
        <w:rPr>
          <w:rFonts w:ascii="Times New Roman" w:hAnsi="Times New Roman"/>
          <w:b/>
          <w:i w:val="false"/>
          <w:color w:val="000000"/>
          <w:sz w:val="22"/>
        </w:rPr>
        <w:t>结论：</w:t>
      </w:r>
      <w:r>
        <w:rPr>
          <w:rFonts w:ascii="Times New Roman" w:hAnsi="Times New Roman"/>
          <w:b/>
          <w:i w:val="false"/>
          <w:color w:val="000000"/>
          <w:sz w:val="22"/>
        </w:rPr>
        <w:t>在2025-2026年的行业环境中，当消费复苏存在不确定性、但商业地产核心资产价值重估与消费基础设施化趋势明确时，百大集团凭借</w:t>
      </w:r>
      <w:r>
        <w:rPr>
          <w:rFonts w:ascii="Times New Roman" w:hAnsi="Times New Roman"/>
          <w:b/>
          <w:i w:val="false"/>
          <w:color w:val="000000"/>
          <w:sz w:val="22"/>
        </w:rPr>
        <w:t>地段+租金合同+轻资产收益模式</w:t>
      </w:r>
      <w:r>
        <w:rPr>
          <w:rFonts w:ascii="Times New Roman" w:hAnsi="Times New Roman"/>
          <w:b w:val="false"/>
          <w:i w:val="false"/>
          <w:color w:val="000000"/>
          <w:sz w:val="22"/>
        </w:rPr>
        <w:t>，在同业中具备明显的防御型护城河，适合作为组合中“高安全边际+资产重估弹性”的配置品种，而非追求高ROE高增速的进攻型标的。</w:t>
      </w:r>
    </w:p>
    <w:p>
      <w:pPr>
        <w:spacing w:before="180" w:after="180"/>
        <w:ind w:left="120"/>
        <w:jc w:val="left"/>
      </w:pPr>
      <w:r>
        <w:rPr>
          <w:rFonts w:ascii="Times New Roman" w:hAnsi="Times New Roman"/>
          <w:b/>
          <w:i w:val="false"/>
          <w:color w:val="000000"/>
          <w:sz w:val="33"/>
        </w:rPr>
        <w:t>4.4 综合竞争护城河评估与投资启示（2025-2026）</w:t>
      </w:r>
    </w:p>
    <w:p>
      <w:pPr>
        <w:numPr>
          <w:ilvl w:val="0"/>
          <w:numId w:val="79"/>
        </w:numPr>
        <w:spacing w:before="0" w:after="0"/>
        <w:jc w:val="left"/>
      </w:pPr>
      <w:r>
        <w:rPr>
          <w:rFonts w:ascii="Times New Roman" w:hAnsi="Times New Roman"/>
          <w:b/>
          <w:i w:val="false"/>
          <w:color w:val="000000"/>
          <w:sz w:val="22"/>
        </w:rPr>
        <w:t>护城河强度：中长期视角下为“强”</w:t>
      </w:r>
    </w:p>
    <w:p>
      <w:pPr>
        <w:numPr>
          <w:ilvl w:val="0"/>
          <w:numId w:val="80"/>
        </w:numPr>
        <w:spacing w:before="0" w:after="0"/>
        <w:jc w:val="left"/>
      </w:pPr>
      <w:r>
        <w:rPr>
          <w:rFonts w:ascii="Times New Roman" w:hAnsi="Times New Roman"/>
          <w:b/>
          <w:i w:val="false"/>
          <w:color w:val="000000"/>
          <w:sz w:val="22"/>
        </w:rPr>
        <w:t>地理护城河：</w:t>
      </w:r>
      <w:r>
        <w:rPr>
          <w:rFonts w:ascii="Times New Roman" w:hAnsi="Times New Roman"/>
          <w:b w:val="false"/>
          <w:i w:val="false"/>
          <w:color w:val="000000"/>
          <w:sz w:val="22"/>
        </w:rPr>
        <w:t xml:space="preserve"> 武林核心商圈不可复制。</w:t>
      </w:r>
    </w:p>
    <w:p>
      <w:pPr>
        <w:numPr>
          <w:ilvl w:val="0"/>
          <w:numId w:val="80"/>
        </w:numPr>
        <w:spacing w:before="0" w:after="0"/>
        <w:jc w:val="left"/>
      </w:pPr>
      <w:r>
        <w:rPr>
          <w:rFonts w:ascii="Times New Roman" w:hAnsi="Times New Roman"/>
          <w:b/>
          <w:i w:val="false"/>
          <w:color w:val="000000"/>
          <w:sz w:val="22"/>
        </w:rPr>
        <w:t>资产护城河：</w:t>
      </w:r>
      <w:r>
        <w:rPr>
          <w:rFonts w:ascii="Times New Roman" w:hAnsi="Times New Roman"/>
          <w:b w:val="false"/>
          <w:i w:val="false"/>
          <w:color w:val="000000"/>
          <w:sz w:val="22"/>
        </w:rPr>
        <w:t xml:space="preserve"> 与恒隆合作，将杭州百货大楼纳入高端商业矩阵，20年租金锁定+递增条款，资产现值与未来租金折现价值被低估的概率较大。</w:t>
      </w:r>
    </w:p>
    <w:p>
      <w:pPr>
        <w:numPr>
          <w:ilvl w:val="0"/>
          <w:numId w:val="80"/>
        </w:numPr>
        <w:spacing w:before="0" w:after="0"/>
        <w:jc w:val="left"/>
      </w:pPr>
      <w:r>
        <w:rPr>
          <w:rFonts w:ascii="Times New Roman" w:hAnsi="Times New Roman"/>
          <w:b/>
          <w:i w:val="false"/>
          <w:color w:val="000000"/>
          <w:sz w:val="22"/>
        </w:rPr>
        <w:t>收益护城河：</w:t>
      </w:r>
      <w:r>
        <w:rPr>
          <w:rFonts w:ascii="Times New Roman" w:hAnsi="Times New Roman"/>
          <w:b w:val="false"/>
          <w:i w:val="false"/>
          <w:color w:val="000000"/>
          <w:sz w:val="22"/>
        </w:rPr>
        <w:t xml:space="preserve"> 托管+租赁模式带来接近REITs的高毛利、稳现金流特征，对周期波动不敏感。</w:t>
      </w:r>
    </w:p>
    <w:p>
      <w:pPr>
        <w:numPr>
          <w:ilvl w:val="0"/>
          <w:numId w:val="81"/>
        </w:numPr>
        <w:spacing w:before="0" w:after="0"/>
        <w:jc w:val="left"/>
      </w:pPr>
      <w:r>
        <w:rPr>
          <w:rFonts w:ascii="Times New Roman" w:hAnsi="Times New Roman"/>
          <w:b/>
          <w:i w:val="false"/>
          <w:color w:val="000000"/>
          <w:sz w:val="22"/>
        </w:rPr>
        <w:t>短板与约束：增长天花板与非主业投资拖累</w:t>
      </w:r>
    </w:p>
    <w:p>
      <w:pPr>
        <w:numPr>
          <w:ilvl w:val="0"/>
          <w:numId w:val="82"/>
        </w:numPr>
        <w:spacing w:before="0" w:after="0"/>
        <w:jc w:val="left"/>
      </w:pPr>
      <w:r>
        <w:rPr>
          <w:rFonts w:ascii="Times New Roman" w:hAnsi="Times New Roman"/>
          <w:b/>
          <w:i w:val="false"/>
          <w:color w:val="000000"/>
          <w:sz w:val="22"/>
        </w:rPr>
        <w:t>增长空间受制于单一核心资产</w:t>
      </w:r>
      <w:r>
        <w:rPr>
          <w:rFonts w:ascii="Times New Roman" w:hAnsi="Times New Roman"/>
          <w:b w:val="false"/>
          <w:i w:val="false"/>
          <w:color w:val="000000"/>
          <w:sz w:val="22"/>
        </w:rPr>
        <w:t>，异地复制难度较大，除延安路、百井坊安置物业外，暂无大量可复制的高能级资产储备。</w:t>
      </w:r>
    </w:p>
    <w:p>
      <w:pPr>
        <w:numPr>
          <w:ilvl w:val="0"/>
          <w:numId w:val="82"/>
        </w:numPr>
        <w:spacing w:before="0" w:after="0"/>
        <w:jc w:val="left"/>
      </w:pPr>
      <w:r>
        <w:rPr>
          <w:rFonts w:ascii="Times New Roman" w:hAnsi="Times New Roman"/>
          <w:b/>
          <w:i w:val="false"/>
          <w:color w:val="000000"/>
          <w:sz w:val="22"/>
        </w:rPr>
        <w:t>前期房地产业相关投资（金地商置、杭州工商信托）仍在持续拖累利润</w:t>
      </w:r>
      <w:r>
        <w:rPr>
          <w:rFonts w:ascii="Times New Roman" w:hAnsi="Times New Roman"/>
          <w:b w:val="false"/>
          <w:i w:val="false"/>
          <w:color w:val="000000"/>
          <w:sz w:val="22"/>
        </w:rPr>
        <w:t>，且未来股权处置方案仍不明朗，投资者需关注相关资产剥离与减值进展。</w:t>
      </w:r>
    </w:p>
    <w:p>
      <w:pPr>
        <w:numPr>
          <w:ilvl w:val="0"/>
          <w:numId w:val="83"/>
        </w:numPr>
        <w:spacing w:before="0" w:after="0"/>
        <w:jc w:val="left"/>
      </w:pPr>
      <w:r>
        <w:rPr>
          <w:rFonts w:ascii="Times New Roman" w:hAnsi="Times New Roman"/>
          <w:b/>
          <w:i w:val="false"/>
          <w:color w:val="000000"/>
          <w:sz w:val="22"/>
        </w:rPr>
        <w:t>策略定位：资产重估+股息型配置</w:t>
      </w:r>
    </w:p>
    <w:p>
      <w:pPr>
        <w:numPr>
          <w:ilvl w:val="0"/>
          <w:numId w:val="84"/>
        </w:numPr>
        <w:spacing w:before="0" w:after="0"/>
        <w:jc w:val="left"/>
      </w:pPr>
      <w:r>
        <w:rPr>
          <w:rFonts w:ascii="Times New Roman" w:hAnsi="Times New Roman"/>
          <w:b w:val="false"/>
          <w:i w:val="false"/>
          <w:color w:val="000000"/>
          <w:sz w:val="22"/>
        </w:rPr>
        <w:t>在国企改革与消费基础设施REITs扩容背景下，核心商圈高品质商业资产被重估是中长期趋势，百大集团有望受益于地方国企商贸资产“盘活+证券化”逻辑。</w:t>
      </w:r>
    </w:p>
    <w:p>
      <w:pPr>
        <w:numPr>
          <w:ilvl w:val="0"/>
          <w:numId w:val="84"/>
        </w:numPr>
        <w:spacing w:before="0" w:after="0"/>
        <w:jc w:val="left"/>
      </w:pPr>
      <w:r>
        <w:rPr>
          <w:rFonts w:ascii="Times New Roman" w:hAnsi="Times New Roman"/>
          <w:b w:val="false"/>
          <w:i w:val="false"/>
          <w:color w:val="000000"/>
          <w:sz w:val="22"/>
        </w:rPr>
        <w:t>叠加公司财务稳健、现金充裕、传统业务现金流稳定，未来若将恒隆租金部分以较高比例回馈股东，其股息属性将显著增强，可与华润万象生活、恒隆地产等商业地产股形成一定可比性。</w:t>
      </w:r>
    </w:p>
    <w:p>
      <w:pPr>
        <w:spacing w:before="269" w:after="269"/>
        <w:ind w:left="120"/>
        <w:jc w:val="left"/>
      </w:pPr>
      <w:r>
        <w:rPr>
          <w:rFonts w:ascii="Times New Roman" w:hAnsi="Times New Roman"/>
          <w:b/>
          <w:i w:val="false"/>
          <w:color w:val="000000"/>
          <w:sz w:val="22"/>
        </w:rPr>
        <w:t>整体判断：</w:t>
      </w:r>
      <w:r>
        <w:rPr>
          <w:rFonts w:ascii="Times New Roman" w:hAnsi="Times New Roman"/>
          <w:b w:val="false"/>
          <w:i w:val="false"/>
          <w:color w:val="000000"/>
          <w:sz w:val="22"/>
        </w:rPr>
        <w:t xml:space="preserve"> 在与重庆百货、武商集团等传统百货龙头的对比中，百大集团的核心价值并不在当期ROE与同店增速，而在于</w:t>
      </w:r>
      <w:r>
        <w:rPr>
          <w:rFonts w:ascii="Times New Roman" w:hAnsi="Times New Roman"/>
          <w:b/>
          <w:i w:val="false"/>
          <w:color w:val="000000"/>
          <w:sz w:val="22"/>
        </w:rPr>
        <w:t>武林核心资产的长期租金现金流+轻资产模式下对周期的强防御性</w:t>
      </w:r>
      <w:r>
        <w:rPr>
          <w:rFonts w:ascii="Times New Roman" w:hAnsi="Times New Roman"/>
          <w:b w:val="false"/>
          <w:i w:val="false"/>
          <w:color w:val="000000"/>
          <w:sz w:val="22"/>
        </w:rPr>
        <w:t>。2025-2026年，随着杭州恒隆广场开业、杭州百货大楼租赁合同临近生效，百大集团有望逐步从“被房地产投资拖累的传统百货小市值股”转向“具备稳定高租金现金流的核心商圈商业地产持有人”，其估值体系更应向“高质量商业REITs+高股息地产股”靠拢，而非仅以百货类单纯PE进行横向比较。</w:t>
      </w:r>
    </w:p>
    <w:p>
      <w:pPr>
        <w:spacing w:before="161" w:after="161"/>
        <w:ind w:left="120"/>
        <w:jc w:val="left"/>
      </w:pPr>
      <w:r>
        <w:rPr>
          <w:rFonts w:ascii="Times New Roman" w:hAnsi="Times New Roman"/>
          <w:b/>
          <w:i w:val="false"/>
          <w:color w:val="000000"/>
          <w:sz w:val="44"/>
        </w:rPr>
        <w:t>五、2025-2026年业绩预测、估值逻辑与风险评价</w:t>
      </w:r>
    </w:p>
    <w:p>
      <w:pPr>
        <w:spacing w:before="269" w:after="269"/>
        <w:ind w:left="120"/>
        <w:jc w:val="left"/>
      </w:pPr>
      <w:r>
        <w:rPr>
          <w:rFonts w:ascii="Times New Roman" w:hAnsi="Times New Roman"/>
          <w:b w:val="false"/>
          <w:i w:val="false"/>
          <w:color w:val="000000"/>
          <w:sz w:val="22"/>
        </w:rPr>
        <w:t>**业绩层面，“主业稳+金融波动大”的结构在2025-2026年大概率延续，**传统百货托管、酒店与租赁业务贡献稳定现金流，整体收入中枢偏弱但相对可控，归母净利润则高度依赖金融资产公允价值变动与理财收益，盈利波动仍将显著。</w:t>
      </w:r>
    </w:p>
    <w:p>
      <w:pPr>
        <w:spacing w:before="269" w:after="269"/>
        <w:ind w:left="120"/>
        <w:jc w:val="left"/>
      </w:pPr>
      <w:r>
        <w:rPr>
          <w:rFonts w:ascii="Times New Roman" w:hAnsi="Times New Roman"/>
          <w:b/>
          <w:i w:val="false"/>
          <w:color w:val="000000"/>
          <w:sz w:val="22"/>
        </w:rPr>
        <w:t>估值层面，百大集团当前更应视作“类REITs+类FOF”的综合资产平台，</w:t>
      </w:r>
      <w:r>
        <w:rPr>
          <w:rFonts w:ascii="Times New Roman" w:hAnsi="Times New Roman"/>
          <w:b/>
          <w:i w:val="false"/>
          <w:color w:val="000000"/>
          <w:sz w:val="22"/>
        </w:rPr>
        <w:t>在大股东减持扰动阶段性缓和的背景下，以</w:t>
      </w:r>
      <w:r>
        <w:rPr>
          <w:rFonts w:ascii="Times New Roman" w:hAnsi="Times New Roman"/>
          <w:b/>
          <w:i w:val="false"/>
          <w:color w:val="000000"/>
          <w:sz w:val="22"/>
        </w:rPr>
        <w:t>PB+清算价值</w:t>
      </w:r>
      <w:r>
        <w:rPr>
          <w:rFonts w:ascii="Times New Roman" w:hAnsi="Times New Roman"/>
          <w:b w:val="false"/>
          <w:i w:val="false"/>
          <w:color w:val="000000"/>
          <w:sz w:val="22"/>
        </w:rPr>
        <w:t>框架定价更具合理性。综合自有物业价值、委托管理稳定现金流及</w:t>
      </w:r>
      <w:r>
        <w:rPr>
          <w:rFonts w:ascii="Times New Roman" w:hAnsi="Times New Roman"/>
          <w:b/>
          <w:i w:val="false"/>
          <w:color w:val="000000"/>
          <w:sz w:val="22"/>
        </w:rPr>
        <w:t>货币资金+交易性金融资产+其他非流动金融资产约15亿元以上</w:t>
      </w:r>
      <w:r>
        <w:rPr>
          <w:rFonts w:ascii="Times New Roman" w:hAnsi="Times New Roman"/>
          <w:b w:val="false"/>
          <w:i w:val="false"/>
          <w:color w:val="000000"/>
          <w:sz w:val="22"/>
        </w:rPr>
        <w:t>的金融资产池，可支撑</w:t>
      </w:r>
      <w:r>
        <w:rPr>
          <w:rFonts w:ascii="Times New Roman" w:hAnsi="Times New Roman"/>
          <w:b/>
          <w:i w:val="false"/>
          <w:color w:val="000000"/>
          <w:sz w:val="22"/>
        </w:rPr>
        <w:t>低ROE+高安全边际</w:t>
      </w:r>
      <w:r>
        <w:rPr>
          <w:rFonts w:ascii="Times New Roman" w:hAnsi="Times New Roman"/>
          <w:b w:val="false"/>
          <w:i w:val="false"/>
          <w:color w:val="000000"/>
          <w:sz w:val="22"/>
        </w:rPr>
        <w:t>的价值中枢，当前PB已明显脱离“纯百货”逻辑。</w:t>
      </w:r>
    </w:p>
    <w:p>
      <w:pPr>
        <w:spacing w:before="269" w:after="269"/>
        <w:ind w:left="120"/>
        <w:jc w:val="left"/>
      </w:pPr>
      <w:r>
        <w:rPr>
          <w:rFonts w:ascii="Times New Roman" w:hAnsi="Times New Roman"/>
          <w:b w:val="false"/>
          <w:i w:val="false"/>
          <w:color w:val="000000"/>
          <w:sz w:val="22"/>
        </w:rPr>
        <w:t>**风险层面，金地商置、杭工商信托等历史地产相关权益投资仍是未来两年估值与业绩最大的“不确定因子”，**叠加百货行业结构性承压、宏观修复节奏与大股东西子联合减持预期反复，2025-2026年股价波动将远大于基本面波动，投资策略上更适合作为“资产折价+高现金流”配置，而非高成长标的。</w:t>
      </w:r>
    </w:p>
    <w:p>
      <w:pPr>
        <w:spacing w:before="180" w:after="180"/>
        <w:ind w:left="120"/>
        <w:jc w:val="left"/>
      </w:pPr>
      <w:r>
        <w:rPr>
          <w:rFonts w:ascii="Times New Roman" w:hAnsi="Times New Roman"/>
          <w:b/>
          <w:i w:val="false"/>
          <w:color w:val="000000"/>
          <w:sz w:val="33"/>
        </w:rPr>
        <w:t>5.1 2025-2026年业绩预测：稳定主业+高波动投资</w:t>
      </w:r>
    </w:p>
    <w:p>
      <w:pPr>
        <w:spacing w:before="199" w:after="199"/>
        <w:ind w:left="120"/>
        <w:jc w:val="left"/>
      </w:pPr>
      <w:r>
        <w:rPr>
          <w:rFonts w:ascii="Times New Roman" w:hAnsi="Times New Roman"/>
          <w:b/>
          <w:i w:val="false"/>
          <w:color w:val="000000"/>
          <w:sz w:val="26"/>
        </w:rPr>
        <w:t>5.1.1 历史业绩与2025年前三季度运行概览</w:t>
      </w:r>
    </w:p>
    <w:p>
      <w:pPr>
        <w:numPr>
          <w:ilvl w:val="0"/>
          <w:numId w:val="85"/>
        </w:numPr>
        <w:spacing w:before="0" w:after="0"/>
        <w:jc w:val="left"/>
      </w:pPr>
      <w:r>
        <w:rPr>
          <w:rFonts w:ascii="Times New Roman" w:hAnsi="Times New Roman"/>
          <w:b/>
          <w:i w:val="false"/>
          <w:color w:val="000000"/>
          <w:sz w:val="22"/>
        </w:rPr>
        <w:t>2024年基数：经营修复+金融反弹共同驱动</w:t>
      </w:r>
    </w:p>
    <w:p>
      <w:pPr>
        <w:numPr>
          <w:ilvl w:val="0"/>
          <w:numId w:val="86"/>
        </w:numPr>
        <w:spacing w:before="0" w:after="0"/>
        <w:jc w:val="left"/>
      </w:pPr>
      <w:r>
        <w:rPr>
          <w:rFonts w:ascii="Times New Roman" w:hAnsi="Times New Roman"/>
          <w:b w:val="false"/>
          <w:i w:val="false"/>
          <w:color w:val="000000"/>
          <w:sz w:val="22"/>
        </w:rPr>
        <w:t>2024年公司实现营业收入</w:t>
      </w:r>
      <w:r>
        <w:rPr>
          <w:rFonts w:ascii="Times New Roman" w:hAnsi="Times New Roman"/>
          <w:b/>
          <w:i w:val="false"/>
          <w:color w:val="000000"/>
          <w:sz w:val="22"/>
        </w:rPr>
        <w:t>1.94亿元，同比-10.38%</w:t>
      </w:r>
      <w:r>
        <w:rPr>
          <w:rFonts w:ascii="Times New Roman" w:hAnsi="Times New Roman"/>
          <w:b w:val="false"/>
          <w:i w:val="false"/>
          <w:color w:val="000000"/>
          <w:sz w:val="22"/>
        </w:rPr>
        <w:t>；实现归母净利润</w:t>
      </w:r>
      <w:r>
        <w:rPr>
          <w:rFonts w:ascii="Times New Roman" w:hAnsi="Times New Roman"/>
          <w:b/>
          <w:i w:val="false"/>
          <w:color w:val="000000"/>
          <w:sz w:val="22"/>
        </w:rPr>
        <w:t>1.33亿元，同比+878.21%</w:t>
      </w:r>
      <w:r>
        <w:rPr>
          <w:rFonts w:ascii="Times New Roman" w:hAnsi="Times New Roman"/>
          <w:b w:val="false"/>
          <w:i w:val="false"/>
          <w:color w:val="000000"/>
          <w:sz w:val="22"/>
        </w:rPr>
        <w:t>；但扣非归母净利润仅</w:t>
      </w:r>
      <w:r>
        <w:rPr>
          <w:rFonts w:ascii="Times New Roman" w:hAnsi="Times New Roman"/>
          <w:b/>
          <w:i w:val="false"/>
          <w:color w:val="000000"/>
          <w:sz w:val="22"/>
        </w:rPr>
        <w:t>0.79亿元，同比-11.84%</w:t>
      </w:r>
      <w:r>
        <w:rPr>
          <w:rFonts w:ascii="Times New Roman" w:hAnsi="Times New Roman"/>
          <w:b w:val="false"/>
          <w:i w:val="false"/>
          <w:color w:val="000000"/>
          <w:sz w:val="22"/>
        </w:rPr>
        <w:t>，本质上是**“主业略弱+金融资产强反弹”组合**。</w:t>
      </w:r>
    </w:p>
    <w:p>
      <w:pPr>
        <w:numPr>
          <w:ilvl w:val="0"/>
          <w:numId w:val="86"/>
        </w:numPr>
        <w:spacing w:before="0" w:after="0"/>
        <w:jc w:val="left"/>
      </w:pPr>
      <w:r>
        <w:rPr>
          <w:rFonts w:ascii="Times New Roman" w:hAnsi="Times New Roman"/>
          <w:b w:val="false"/>
          <w:i w:val="false"/>
          <w:color w:val="000000"/>
          <w:sz w:val="22"/>
        </w:rPr>
        <w:t>营收下滑主要来自杭州百货大楼销售收入减少；净利润大幅增长主因是</w:t>
      </w:r>
      <w:r>
        <w:rPr>
          <w:rFonts w:ascii="Times New Roman" w:hAnsi="Times New Roman"/>
          <w:b/>
          <w:i w:val="false"/>
          <w:color w:val="000000"/>
          <w:sz w:val="22"/>
        </w:rPr>
        <w:t>二级市场股票公允价值变动损益上升</w:t>
      </w:r>
      <w:r>
        <w:rPr>
          <w:rFonts w:ascii="Times New Roman" w:hAnsi="Times New Roman"/>
          <w:b w:val="false"/>
          <w:i w:val="false"/>
          <w:color w:val="000000"/>
          <w:sz w:val="22"/>
        </w:rPr>
        <w:t>。</w:t>
      </w:r>
    </w:p>
    <w:p>
      <w:pPr>
        <w:numPr>
          <w:ilvl w:val="0"/>
          <w:numId w:val="87"/>
        </w:numPr>
        <w:spacing w:before="0" w:after="0"/>
        <w:jc w:val="left"/>
      </w:pPr>
      <w:r>
        <w:rPr>
          <w:rFonts w:ascii="Times New Roman" w:hAnsi="Times New Roman"/>
          <w:b/>
          <w:i w:val="false"/>
          <w:color w:val="000000"/>
          <w:sz w:val="22"/>
        </w:rPr>
        <w:t>2025年一季度：营收继续承压、净利大幅回落</w:t>
      </w:r>
    </w:p>
    <w:p>
      <w:pPr>
        <w:numPr>
          <w:ilvl w:val="0"/>
          <w:numId w:val="88"/>
        </w:numPr>
        <w:spacing w:before="0" w:after="0"/>
        <w:jc w:val="left"/>
      </w:pPr>
      <w:r>
        <w:rPr>
          <w:rFonts w:ascii="Times New Roman" w:hAnsi="Times New Roman"/>
          <w:b w:val="false"/>
          <w:i w:val="false"/>
          <w:color w:val="000000"/>
          <w:sz w:val="22"/>
        </w:rPr>
        <w:t>2025年Q1营业收入</w:t>
      </w:r>
      <w:r>
        <w:rPr>
          <w:rFonts w:ascii="Times New Roman" w:hAnsi="Times New Roman"/>
          <w:b/>
          <w:i w:val="false"/>
          <w:color w:val="000000"/>
          <w:sz w:val="22"/>
        </w:rPr>
        <w:t>5058.78万元，同比-14.16%</w:t>
      </w:r>
      <w:r>
        <w:rPr>
          <w:rFonts w:ascii="Times New Roman" w:hAnsi="Times New Roman"/>
          <w:b w:val="false"/>
          <w:i w:val="false"/>
          <w:color w:val="000000"/>
          <w:sz w:val="22"/>
        </w:rPr>
        <w:t>；归母净利润</w:t>
      </w:r>
      <w:r>
        <w:rPr>
          <w:rFonts w:ascii="Times New Roman" w:hAnsi="Times New Roman"/>
          <w:b/>
          <w:i w:val="false"/>
          <w:color w:val="000000"/>
          <w:sz w:val="22"/>
        </w:rPr>
        <w:t>1681.22万元，同比-53.69%</w:t>
      </w:r>
      <w:r>
        <w:rPr>
          <w:rFonts w:ascii="Times New Roman" w:hAnsi="Times New Roman"/>
          <w:b w:val="false"/>
          <w:i w:val="false"/>
          <w:color w:val="000000"/>
          <w:sz w:val="22"/>
        </w:rPr>
        <w:t>；扣非归母净利润</w:t>
      </w:r>
      <w:r>
        <w:rPr>
          <w:rFonts w:ascii="Times New Roman" w:hAnsi="Times New Roman"/>
          <w:b/>
          <w:i w:val="false"/>
          <w:color w:val="000000"/>
          <w:sz w:val="22"/>
        </w:rPr>
        <w:t>1857.06万元，同比-15.01%</w:t>
      </w:r>
      <w:r>
        <w:rPr>
          <w:rFonts w:ascii="Times New Roman" w:hAnsi="Times New Roman"/>
          <w:b w:val="false"/>
          <w:i w:val="false"/>
          <w:color w:val="000000"/>
          <w:sz w:val="22"/>
        </w:rPr>
        <w:t>。</w:t>
      </w:r>
    </w:p>
    <w:p>
      <w:pPr>
        <w:numPr>
          <w:ilvl w:val="0"/>
          <w:numId w:val="88"/>
        </w:numPr>
        <w:spacing w:before="0" w:after="0"/>
        <w:jc w:val="left"/>
      </w:pPr>
      <w:r>
        <w:rPr>
          <w:rFonts w:ascii="Times New Roman" w:hAnsi="Times New Roman"/>
          <w:b w:val="false"/>
          <w:i w:val="false"/>
          <w:color w:val="000000"/>
          <w:sz w:val="22"/>
        </w:rPr>
        <w:t>Q1 ROE（披露口径）约</w:t>
      </w:r>
      <w:r>
        <w:rPr>
          <w:rFonts w:ascii="Times New Roman" w:hAnsi="Times New Roman"/>
          <w:b/>
          <w:i w:val="false"/>
          <w:color w:val="000000"/>
          <w:sz w:val="22"/>
        </w:rPr>
        <w:t>0.72%</w:t>
      </w:r>
      <w:r>
        <w:rPr>
          <w:rFonts w:ascii="Times New Roman" w:hAnsi="Times New Roman"/>
          <w:b w:val="false"/>
          <w:i w:val="false"/>
          <w:color w:val="000000"/>
          <w:sz w:val="22"/>
        </w:rPr>
        <w:t>，扣非ROE约</w:t>
      </w:r>
      <w:r>
        <w:rPr>
          <w:rFonts w:ascii="Times New Roman" w:hAnsi="Times New Roman"/>
          <w:b/>
          <w:i w:val="false"/>
          <w:color w:val="000000"/>
          <w:sz w:val="22"/>
        </w:rPr>
        <w:t>0.79%</w:t>
      </w:r>
      <w:r>
        <w:rPr>
          <w:rFonts w:ascii="Times New Roman" w:hAnsi="Times New Roman"/>
          <w:b w:val="false"/>
          <w:i w:val="false"/>
          <w:color w:val="000000"/>
          <w:sz w:val="22"/>
        </w:rPr>
        <w:t>，显示在金融资产价格回落背景下，盈利质量显著下降。</w:t>
      </w:r>
    </w:p>
    <w:p>
      <w:pPr>
        <w:numPr>
          <w:ilvl w:val="0"/>
          <w:numId w:val="89"/>
        </w:numPr>
        <w:spacing w:before="0" w:after="0"/>
        <w:jc w:val="left"/>
      </w:pPr>
      <w:r>
        <w:rPr>
          <w:rFonts w:ascii="Times New Roman" w:hAnsi="Times New Roman"/>
          <w:b/>
          <w:i w:val="false"/>
          <w:color w:val="000000"/>
          <w:sz w:val="22"/>
        </w:rPr>
        <w:t>2025年上半年：零售主业与投资并行，利润体量仍不大</w:t>
      </w:r>
    </w:p>
    <w:p>
      <w:pPr>
        <w:numPr>
          <w:ilvl w:val="0"/>
          <w:numId w:val="90"/>
        </w:numPr>
        <w:spacing w:before="0" w:after="0"/>
        <w:jc w:val="left"/>
      </w:pPr>
      <w:r>
        <w:rPr>
          <w:rFonts w:ascii="Times New Roman" w:hAnsi="Times New Roman"/>
          <w:b w:val="false"/>
          <w:i w:val="false"/>
          <w:color w:val="000000"/>
          <w:sz w:val="22"/>
        </w:rPr>
        <w:t>2025H1营业收入</w:t>
      </w:r>
      <w:r>
        <w:rPr>
          <w:rFonts w:ascii="Times New Roman" w:hAnsi="Times New Roman"/>
          <w:b/>
          <w:i w:val="false"/>
          <w:color w:val="000000"/>
          <w:sz w:val="22"/>
        </w:rPr>
        <w:t>9203.33万元</w:t>
      </w:r>
      <w:r>
        <w:rPr>
          <w:rFonts w:ascii="Times New Roman" w:hAnsi="Times New Roman"/>
          <w:b w:val="false"/>
          <w:i w:val="false"/>
          <w:color w:val="000000"/>
          <w:sz w:val="22"/>
        </w:rPr>
        <w:t>，归母净利润</w:t>
      </w:r>
      <w:r>
        <w:rPr>
          <w:rFonts w:ascii="Times New Roman" w:hAnsi="Times New Roman"/>
          <w:b/>
          <w:i w:val="false"/>
          <w:color w:val="000000"/>
          <w:sz w:val="22"/>
        </w:rPr>
        <w:t>5785.95万元</w:t>
      </w:r>
      <w:r>
        <w:rPr>
          <w:rFonts w:ascii="Times New Roman" w:hAnsi="Times New Roman"/>
          <w:b w:val="false"/>
          <w:i w:val="false"/>
          <w:color w:val="000000"/>
          <w:sz w:val="22"/>
        </w:rPr>
        <w:t>，扣非归母净利润</w:t>
      </w:r>
      <w:r>
        <w:rPr>
          <w:rFonts w:ascii="Times New Roman" w:hAnsi="Times New Roman"/>
          <w:b/>
          <w:i w:val="false"/>
          <w:color w:val="000000"/>
          <w:sz w:val="22"/>
        </w:rPr>
        <w:t>3223.49万元</w:t>
      </w:r>
      <w:r>
        <w:rPr>
          <w:rFonts w:ascii="Times New Roman" w:hAnsi="Times New Roman"/>
          <w:b w:val="false"/>
          <w:i w:val="false"/>
          <w:color w:val="000000"/>
          <w:sz w:val="22"/>
        </w:rPr>
        <w:t>。</w:t>
      </w:r>
    </w:p>
    <w:p>
      <w:pPr>
        <w:numPr>
          <w:ilvl w:val="0"/>
          <w:numId w:val="90"/>
        </w:numPr>
        <w:spacing w:before="0" w:after="0"/>
        <w:jc w:val="left"/>
      </w:pPr>
      <w:r>
        <w:rPr>
          <w:rFonts w:ascii="Times New Roman" w:hAnsi="Times New Roman"/>
          <w:b w:val="false"/>
          <w:i w:val="false"/>
          <w:color w:val="000000"/>
          <w:sz w:val="22"/>
        </w:rPr>
        <w:t>主业拆分：</w:t>
      </w:r>
    </w:p>
    <w:p>
      <w:pPr>
        <w:numPr>
          <w:ilvl w:val="0"/>
          <w:numId w:val="90"/>
        </w:numPr>
        <w:spacing w:before="0" w:after="0"/>
        <w:jc w:val="left"/>
      </w:pPr>
      <w:r>
        <w:rPr>
          <w:rFonts w:ascii="Times New Roman" w:hAnsi="Times New Roman"/>
          <w:b w:val="false"/>
          <w:i w:val="false"/>
          <w:color w:val="000000"/>
          <w:sz w:val="22"/>
        </w:rPr>
        <w:t>杭州百货大楼营业收入</w:t>
      </w:r>
      <w:r>
        <w:rPr>
          <w:rFonts w:ascii="Times New Roman" w:hAnsi="Times New Roman"/>
          <w:b/>
          <w:i w:val="false"/>
          <w:color w:val="000000"/>
          <w:sz w:val="22"/>
        </w:rPr>
        <w:t>6673.33万元</w:t>
      </w:r>
      <w:r>
        <w:rPr>
          <w:rFonts w:ascii="Times New Roman" w:hAnsi="Times New Roman"/>
          <w:b w:val="false"/>
          <w:i w:val="false"/>
          <w:color w:val="000000"/>
          <w:sz w:val="22"/>
        </w:rPr>
        <w:t>，委托经营利润未达目标，表明百货销售端仍承压。</w:t>
      </w:r>
    </w:p>
    <w:p>
      <w:pPr>
        <w:numPr>
          <w:ilvl w:val="0"/>
          <w:numId w:val="90"/>
        </w:numPr>
        <w:spacing w:before="0" w:after="0"/>
        <w:jc w:val="left"/>
      </w:pPr>
      <w:r>
        <w:rPr>
          <w:rFonts w:ascii="Times New Roman" w:hAnsi="Times New Roman"/>
          <w:b w:val="false"/>
          <w:i w:val="false"/>
          <w:color w:val="000000"/>
          <w:sz w:val="22"/>
        </w:rPr>
        <w:t>杭州大酒店上半年营业收入</w:t>
      </w:r>
      <w:r>
        <w:rPr>
          <w:rFonts w:ascii="Times New Roman" w:hAnsi="Times New Roman"/>
          <w:b/>
          <w:i w:val="false"/>
          <w:color w:val="000000"/>
          <w:sz w:val="22"/>
        </w:rPr>
        <w:t>1098.69万元</w:t>
      </w:r>
      <w:r>
        <w:rPr>
          <w:rFonts w:ascii="Times New Roman" w:hAnsi="Times New Roman"/>
          <w:b w:val="false"/>
          <w:i w:val="false"/>
          <w:color w:val="000000"/>
          <w:sz w:val="22"/>
        </w:rPr>
        <w:t>，处于开业导入期，盈利尚不稳定。</w:t>
      </w:r>
    </w:p>
    <w:p>
      <w:pPr>
        <w:numPr>
          <w:ilvl w:val="0"/>
          <w:numId w:val="90"/>
        </w:numPr>
        <w:spacing w:before="0" w:after="0"/>
        <w:jc w:val="left"/>
      </w:pPr>
      <w:r>
        <w:rPr>
          <w:rFonts w:ascii="Times New Roman" w:hAnsi="Times New Roman"/>
          <w:b w:val="false"/>
          <w:i w:val="false"/>
          <w:color w:val="000000"/>
          <w:sz w:val="22"/>
        </w:rPr>
        <w:t>其他租赁物业与收藏品市场收入</w:t>
      </w:r>
      <w:r>
        <w:rPr>
          <w:rFonts w:ascii="Times New Roman" w:hAnsi="Times New Roman"/>
          <w:b/>
          <w:i w:val="false"/>
          <w:color w:val="000000"/>
          <w:sz w:val="22"/>
        </w:rPr>
        <w:t>1339.87万元</w:t>
      </w:r>
      <w:r>
        <w:rPr>
          <w:rFonts w:ascii="Times New Roman" w:hAnsi="Times New Roman"/>
          <w:b w:val="false"/>
          <w:i w:val="false"/>
          <w:color w:val="000000"/>
          <w:sz w:val="22"/>
        </w:rPr>
        <w:t>，湖墅南路物业出租率</w:t>
      </w:r>
      <w:r>
        <w:rPr>
          <w:rFonts w:ascii="Times New Roman" w:hAnsi="Times New Roman"/>
          <w:b/>
          <w:i w:val="false"/>
          <w:color w:val="000000"/>
          <w:sz w:val="22"/>
        </w:rPr>
        <w:t>94%</w:t>
      </w:r>
      <w:r>
        <w:rPr>
          <w:rFonts w:ascii="Times New Roman" w:hAnsi="Times New Roman"/>
          <w:b w:val="false"/>
          <w:i w:val="false"/>
          <w:color w:val="000000"/>
          <w:sz w:val="22"/>
        </w:rPr>
        <w:t>，501城市广场商业出租率</w:t>
      </w:r>
      <w:r>
        <w:rPr>
          <w:rFonts w:ascii="Times New Roman" w:hAnsi="Times New Roman"/>
          <w:b/>
          <w:i w:val="false"/>
          <w:color w:val="000000"/>
          <w:sz w:val="22"/>
        </w:rPr>
        <w:t>97.9%</w:t>
      </w:r>
      <w:r>
        <w:rPr>
          <w:rFonts w:ascii="Times New Roman" w:hAnsi="Times New Roman"/>
          <w:b w:val="false"/>
          <w:i w:val="false"/>
          <w:color w:val="000000"/>
          <w:sz w:val="22"/>
        </w:rPr>
        <w:t>、写字楼出租率</w:t>
      </w:r>
      <w:r>
        <w:rPr>
          <w:rFonts w:ascii="Times New Roman" w:hAnsi="Times New Roman"/>
          <w:b/>
          <w:i w:val="false"/>
          <w:color w:val="000000"/>
          <w:sz w:val="22"/>
        </w:rPr>
        <w:t>92.7%</w:t>
      </w:r>
      <w:r>
        <w:rPr>
          <w:rFonts w:ascii="Times New Roman" w:hAnsi="Times New Roman"/>
          <w:b w:val="false"/>
          <w:i w:val="false"/>
          <w:color w:val="000000"/>
          <w:sz w:val="22"/>
        </w:rPr>
        <w:t>，体现物管与资产运营能力较强。</w:t>
      </w:r>
    </w:p>
    <w:p>
      <w:pPr>
        <w:numPr>
          <w:ilvl w:val="0"/>
          <w:numId w:val="90"/>
        </w:numPr>
        <w:spacing w:before="0" w:after="0"/>
        <w:jc w:val="left"/>
      </w:pPr>
      <w:r>
        <w:rPr>
          <w:rFonts w:ascii="Times New Roman" w:hAnsi="Times New Roman"/>
          <w:b w:val="false"/>
          <w:i w:val="false"/>
          <w:color w:val="000000"/>
          <w:sz w:val="22"/>
        </w:rPr>
        <w:t>投资端：</w:t>
      </w:r>
    </w:p>
    <w:p>
      <w:pPr>
        <w:numPr>
          <w:ilvl w:val="0"/>
          <w:numId w:val="90"/>
        </w:numPr>
        <w:spacing w:before="0" w:after="0"/>
        <w:jc w:val="left"/>
      </w:pPr>
      <w:r>
        <w:rPr>
          <w:rFonts w:ascii="Times New Roman" w:hAnsi="Times New Roman"/>
          <w:b w:val="false"/>
          <w:i w:val="false"/>
          <w:color w:val="000000"/>
          <w:sz w:val="22"/>
        </w:rPr>
        <w:t>2025H1委托理财收益</w:t>
      </w:r>
      <w:r>
        <w:rPr>
          <w:rFonts w:ascii="Times New Roman" w:hAnsi="Times New Roman"/>
          <w:b/>
          <w:i w:val="false"/>
          <w:color w:val="000000"/>
          <w:sz w:val="22"/>
        </w:rPr>
        <w:t>2263.04万元</w:t>
      </w:r>
      <w:r>
        <w:rPr>
          <w:rFonts w:ascii="Times New Roman" w:hAnsi="Times New Roman"/>
          <w:b w:val="false"/>
          <w:i w:val="false"/>
          <w:color w:val="000000"/>
          <w:sz w:val="22"/>
        </w:rPr>
        <w:t>，且无逾期或兑付风险，验证“低风险、稳收益”策略有效；但在利率下行环境下，绝对收益率难有高增。</w:t>
      </w:r>
    </w:p>
    <w:p>
      <w:pPr>
        <w:numPr>
          <w:ilvl w:val="0"/>
          <w:numId w:val="91"/>
        </w:numPr>
        <w:spacing w:before="0" w:after="0"/>
        <w:jc w:val="left"/>
      </w:pPr>
      <w:r>
        <w:rPr>
          <w:rFonts w:ascii="Times New Roman" w:hAnsi="Times New Roman"/>
          <w:b/>
          <w:i w:val="false"/>
          <w:color w:val="000000"/>
          <w:sz w:val="22"/>
        </w:rPr>
        <w:t>2025年前三季度：收入稳中略降、投资拖累净利</w:t>
      </w:r>
    </w:p>
    <w:p>
      <w:pPr>
        <w:numPr>
          <w:ilvl w:val="0"/>
          <w:numId w:val="92"/>
        </w:numPr>
        <w:spacing w:before="0" w:after="0"/>
        <w:jc w:val="left"/>
      </w:pPr>
      <w:r>
        <w:rPr>
          <w:rFonts w:ascii="Times New Roman" w:hAnsi="Times New Roman"/>
          <w:b w:val="false"/>
          <w:i w:val="false"/>
          <w:color w:val="000000"/>
          <w:sz w:val="22"/>
        </w:rPr>
        <w:t>2025年前三季度公司实现营业收入</w:t>
      </w:r>
      <w:r>
        <w:rPr>
          <w:rFonts w:ascii="Times New Roman" w:hAnsi="Times New Roman"/>
          <w:b/>
          <w:i w:val="false"/>
          <w:color w:val="000000"/>
          <w:sz w:val="22"/>
        </w:rPr>
        <w:t>1.33亿元，同比-6.86%</w:t>
      </w:r>
      <w:r>
        <w:rPr>
          <w:rFonts w:ascii="Times New Roman" w:hAnsi="Times New Roman"/>
          <w:b w:val="false"/>
          <w:i w:val="false"/>
          <w:color w:val="000000"/>
          <w:sz w:val="22"/>
        </w:rPr>
        <w:t>；归母净利润</w:t>
      </w:r>
      <w:r>
        <w:rPr>
          <w:rFonts w:ascii="Times New Roman" w:hAnsi="Times New Roman"/>
          <w:b/>
          <w:i w:val="false"/>
          <w:color w:val="000000"/>
          <w:sz w:val="22"/>
        </w:rPr>
        <w:t>0.24亿元，同比-81.78%</w:t>
      </w:r>
      <w:r>
        <w:rPr>
          <w:rFonts w:ascii="Times New Roman" w:hAnsi="Times New Roman"/>
          <w:b w:val="false"/>
          <w:i w:val="false"/>
          <w:color w:val="000000"/>
          <w:sz w:val="22"/>
        </w:rPr>
        <w:t>；扣非归母净利润</w:t>
      </w:r>
      <w:r>
        <w:rPr>
          <w:rFonts w:ascii="Times New Roman" w:hAnsi="Times New Roman"/>
          <w:b/>
          <w:i w:val="false"/>
          <w:color w:val="000000"/>
          <w:sz w:val="22"/>
        </w:rPr>
        <w:t>0.42亿元，同比-32.53%</w:t>
      </w:r>
      <w:r>
        <w:rPr>
          <w:rFonts w:ascii="Times New Roman" w:hAnsi="Times New Roman"/>
          <w:b w:val="false"/>
          <w:i w:val="false"/>
          <w:color w:val="000000"/>
          <w:sz w:val="22"/>
        </w:rPr>
        <w:t>。</w:t>
      </w:r>
    </w:p>
    <w:p>
      <w:pPr>
        <w:numPr>
          <w:ilvl w:val="0"/>
          <w:numId w:val="92"/>
        </w:numPr>
        <w:spacing w:before="0" w:after="0"/>
        <w:jc w:val="left"/>
      </w:pPr>
      <w:r>
        <w:rPr>
          <w:rFonts w:ascii="Times New Roman" w:hAnsi="Times New Roman"/>
          <w:b w:val="false"/>
          <w:i w:val="false"/>
          <w:color w:val="000000"/>
          <w:sz w:val="22"/>
        </w:rPr>
        <w:t>单三季度营收</w:t>
      </w:r>
      <w:r>
        <w:rPr>
          <w:rFonts w:ascii="Times New Roman" w:hAnsi="Times New Roman"/>
          <w:b/>
          <w:i w:val="false"/>
          <w:color w:val="000000"/>
          <w:sz w:val="22"/>
        </w:rPr>
        <w:t>0.41亿元，同比+8.10%</w:t>
      </w:r>
      <w:r>
        <w:rPr>
          <w:rFonts w:ascii="Times New Roman" w:hAnsi="Times New Roman"/>
          <w:b w:val="false"/>
          <w:i w:val="false"/>
          <w:color w:val="000000"/>
          <w:sz w:val="22"/>
        </w:rPr>
        <w:t>，但归母净利润**-0.34亿元，同比-142.77%</w:t>
      </w:r>
      <w:r>
        <w:rPr>
          <w:rFonts w:ascii="Times New Roman" w:hAnsi="Times New Roman"/>
          <w:b/>
          <w:i w:val="false"/>
          <w:color w:val="000000"/>
          <w:sz w:val="22"/>
        </w:rPr>
        <w:t>，扣非净利</w:t>
      </w:r>
      <w:r>
        <w:rPr>
          <w:rFonts w:ascii="Times New Roman" w:hAnsi="Times New Roman"/>
          <w:b w:val="false"/>
          <w:i w:val="false"/>
          <w:color w:val="000000"/>
          <w:sz w:val="22"/>
        </w:rPr>
        <w:t>0.10亿元，同比-55.62%</w:t>
      </w:r>
      <w:r>
        <w:rPr>
          <w:rFonts w:ascii="Times New Roman" w:hAnsi="Times New Roman"/>
          <w:b/>
          <w:i w:val="false"/>
          <w:color w:val="000000"/>
          <w:sz w:val="22"/>
        </w:rPr>
        <w:t>，显然</w:t>
      </w:r>
      <w:r>
        <w:rPr>
          <w:rFonts w:ascii="Times New Roman" w:hAnsi="Times New Roman"/>
          <w:b w:val="false"/>
          <w:i w:val="false"/>
          <w:color w:val="000000"/>
          <w:sz w:val="22"/>
        </w:rPr>
        <w:t>金融资产公允价值回落导致巨额非经常性损失**。</w:t>
      </w:r>
    </w:p>
    <w:p>
      <w:pPr>
        <w:spacing w:before="269" w:after="269"/>
        <w:ind w:left="120"/>
        <w:jc w:val="left"/>
      </w:pPr>
      <w:r>
        <w:rPr>
          <w:rFonts w:ascii="Times New Roman" w:hAnsi="Times New Roman"/>
          <w:b w:val="false"/>
          <w:i w:val="false"/>
          <w:color w:val="000000"/>
          <w:sz w:val="22"/>
        </w:rPr>
        <w:t>由此可见，</w:t>
      </w:r>
      <w:r>
        <w:rPr>
          <w:rFonts w:ascii="Times New Roman" w:hAnsi="Times New Roman"/>
          <w:b/>
          <w:i w:val="false"/>
          <w:color w:val="000000"/>
          <w:sz w:val="22"/>
        </w:rPr>
        <w:t>2024-2025年前三季度盈利走势高度“金融端驱动”</w:t>
      </w:r>
      <w:r>
        <w:rPr>
          <w:rFonts w:ascii="Times New Roman" w:hAnsi="Times New Roman"/>
          <w:b w:val="false"/>
          <w:i w:val="false"/>
          <w:color w:val="000000"/>
          <w:sz w:val="22"/>
        </w:rPr>
        <w:t>：2024年靠股权投资公允价值上升拉高净利，2025年则在股价回落中出现大幅拖累，这一高波动特征在2025-2026年仍将延续。</w:t>
      </w:r>
    </w:p>
    <w:p>
      <w:pPr>
        <w:spacing w:before="199" w:after="199"/>
        <w:ind w:left="120"/>
        <w:jc w:val="left"/>
      </w:pPr>
      <w:r>
        <w:rPr>
          <w:rFonts w:ascii="Times New Roman" w:hAnsi="Times New Roman"/>
          <w:b/>
          <w:i w:val="false"/>
          <w:color w:val="000000"/>
          <w:sz w:val="26"/>
        </w:rPr>
        <w:t>5.1.2 2025-2026年利润表核心假设</w:t>
      </w:r>
    </w:p>
    <w:p>
      <w:pPr>
        <w:spacing w:before="269" w:after="269"/>
        <w:ind w:left="120"/>
        <w:jc w:val="left"/>
      </w:pPr>
      <w:r>
        <w:rPr>
          <w:rFonts w:ascii="Times New Roman" w:hAnsi="Times New Roman"/>
          <w:b w:val="false"/>
          <w:i w:val="false"/>
          <w:color w:val="000000"/>
          <w:sz w:val="22"/>
        </w:rPr>
        <w:t>在缺乏外部一致预期具体数值的前提下，在</w:t>
      </w:r>
      <w:r>
        <w:rPr>
          <w:rFonts w:ascii="Times New Roman" w:hAnsi="Times New Roman"/>
          <w:b/>
          <w:i w:val="false"/>
          <w:color w:val="000000"/>
          <w:sz w:val="22"/>
        </w:rPr>
        <w:t>不新增主业重大项目</w:t>
      </w:r>
      <w:r>
        <w:rPr>
          <w:rFonts w:ascii="Times New Roman" w:hAnsi="Times New Roman"/>
          <w:b w:val="false"/>
          <w:i w:val="false"/>
          <w:color w:val="000000"/>
          <w:sz w:val="22"/>
        </w:rPr>
        <w:t>、**投资策略延续“稳健理财+存量股权逐步消化”**的条件下，对盈利结构做定性预测。</w:t>
      </w:r>
    </w:p>
    <w:p>
      <w:pPr>
        <w:numPr>
          <w:ilvl w:val="0"/>
          <w:numId w:val="93"/>
        </w:numPr>
        <w:spacing w:before="0" w:after="0"/>
        <w:jc w:val="left"/>
      </w:pPr>
      <w:r>
        <w:rPr>
          <w:rFonts w:ascii="Times New Roman" w:hAnsi="Times New Roman"/>
          <w:b/>
          <w:i w:val="false"/>
          <w:color w:val="000000"/>
          <w:sz w:val="22"/>
        </w:rPr>
        <w:t>传统业务收入假设</w:t>
      </w:r>
    </w:p>
    <w:p>
      <w:pPr>
        <w:numPr>
          <w:ilvl w:val="0"/>
          <w:numId w:val="94"/>
        </w:numPr>
        <w:spacing w:before="0" w:after="0"/>
        <w:jc w:val="left"/>
      </w:pPr>
      <w:r>
        <w:rPr>
          <w:rFonts w:ascii="Times New Roman" w:hAnsi="Times New Roman"/>
          <w:b/>
          <w:i w:val="false"/>
          <w:color w:val="000000"/>
          <w:sz w:val="22"/>
        </w:rPr>
        <w:t>百货托管</w:t>
      </w:r>
      <w:r>
        <w:rPr>
          <w:rFonts w:ascii="Times New Roman" w:hAnsi="Times New Roman"/>
          <w:b w:val="false"/>
          <w:i w:val="false"/>
          <w:color w:val="000000"/>
          <w:sz w:val="22"/>
        </w:rPr>
        <w:t>：银泰托管至2028年2月，公司收取相对稳定的委托经营利润，受行业景气影响较小，预计</w:t>
      </w:r>
      <w:r>
        <w:rPr>
          <w:rFonts w:ascii="Times New Roman" w:hAnsi="Times New Roman"/>
          <w:b/>
          <w:i w:val="false"/>
          <w:color w:val="000000"/>
          <w:sz w:val="22"/>
        </w:rPr>
        <w:t>2025-2026年托管利润总体平稳略降</w:t>
      </w:r>
      <w:r>
        <w:rPr>
          <w:rFonts w:ascii="Times New Roman" w:hAnsi="Times New Roman"/>
          <w:b w:val="false"/>
          <w:i w:val="false"/>
          <w:color w:val="000000"/>
          <w:sz w:val="22"/>
        </w:rPr>
        <w:t>，主要受客流与销售结构变化影响。</w:t>
      </w:r>
    </w:p>
    <w:p>
      <w:pPr>
        <w:numPr>
          <w:ilvl w:val="0"/>
          <w:numId w:val="94"/>
        </w:numPr>
        <w:spacing w:before="0" w:after="0"/>
        <w:jc w:val="left"/>
      </w:pPr>
      <w:r>
        <w:rPr>
          <w:rFonts w:ascii="Times New Roman" w:hAnsi="Times New Roman"/>
          <w:b/>
          <w:i w:val="false"/>
          <w:color w:val="000000"/>
          <w:sz w:val="22"/>
        </w:rPr>
        <w:t>物业租赁</w:t>
      </w:r>
      <w:r>
        <w:rPr>
          <w:rFonts w:ascii="Times New Roman" w:hAnsi="Times New Roman"/>
          <w:b w:val="false"/>
          <w:i w:val="false"/>
          <w:color w:val="000000"/>
          <w:sz w:val="22"/>
        </w:rPr>
        <w:t>：湖墅南路、收藏品市场、501城市广场等项目出租率已达</w:t>
      </w:r>
      <w:r>
        <w:rPr>
          <w:rFonts w:ascii="Times New Roman" w:hAnsi="Times New Roman"/>
          <w:b/>
          <w:i w:val="false"/>
          <w:color w:val="000000"/>
          <w:sz w:val="22"/>
        </w:rPr>
        <w:t>92-99%</w:t>
      </w:r>
      <w:r>
        <w:rPr>
          <w:rFonts w:ascii="Times New Roman" w:hAnsi="Times New Roman"/>
          <w:b/>
          <w:i w:val="false"/>
          <w:color w:val="000000"/>
          <w:sz w:val="22"/>
        </w:rPr>
        <w:t>高位，在宏观温和修复、消费略回暖假设下，租金整体</w:t>
      </w:r>
      <w:r>
        <w:rPr>
          <w:rFonts w:ascii="Times New Roman" w:hAnsi="Times New Roman"/>
          <w:b/>
          <w:i w:val="false"/>
          <w:color w:val="000000"/>
          <w:sz w:val="22"/>
        </w:rPr>
        <w:t>低单位数增长</w:t>
      </w:r>
      <w:r>
        <w:rPr>
          <w:rFonts w:ascii="Times New Roman" w:hAnsi="Times New Roman"/>
          <w:b w:val="false"/>
          <w:i w:val="false"/>
          <w:color w:val="000000"/>
          <w:sz w:val="22"/>
        </w:rPr>
        <w:t>更为合理；但考虑到行业仍存在“招租压力大、租金波动明显”的风险，不宜过度乐观。</w:t>
      </w:r>
    </w:p>
    <w:p>
      <w:pPr>
        <w:numPr>
          <w:ilvl w:val="0"/>
          <w:numId w:val="94"/>
        </w:numPr>
        <w:spacing w:before="0" w:after="0"/>
        <w:jc w:val="left"/>
      </w:pPr>
      <w:r>
        <w:rPr>
          <w:rFonts w:ascii="Times New Roman" w:hAnsi="Times New Roman"/>
          <w:b/>
          <w:i w:val="false"/>
          <w:color w:val="000000"/>
          <w:sz w:val="22"/>
        </w:rPr>
        <w:t>酒店业务</w:t>
      </w:r>
      <w:r>
        <w:rPr>
          <w:rFonts w:ascii="Times New Roman" w:hAnsi="Times New Roman"/>
          <w:b w:val="false"/>
          <w:i w:val="false"/>
          <w:color w:val="000000"/>
          <w:sz w:val="22"/>
        </w:rPr>
        <w:t>：杭州大酒店刚完成收回自营与改造，2024年底试运营，2025年处于爬坡期，预计收入与盈利将随入住率与RevPAR逐步改善，但整体体量有限，对公司整体利润影响有限。</w:t>
      </w:r>
    </w:p>
    <w:p>
      <w:pPr>
        <w:numPr>
          <w:ilvl w:val="0"/>
          <w:numId w:val="95"/>
        </w:numPr>
        <w:spacing w:before="0" w:after="0"/>
        <w:jc w:val="left"/>
      </w:pPr>
      <w:r>
        <w:rPr>
          <w:rFonts w:ascii="Times New Roman" w:hAnsi="Times New Roman"/>
          <w:b/>
          <w:i w:val="false"/>
          <w:color w:val="000000"/>
          <w:sz w:val="22"/>
        </w:rPr>
        <w:t>金融资产与委托理财收益假设</w:t>
      </w:r>
    </w:p>
    <w:p>
      <w:pPr>
        <w:numPr>
          <w:ilvl w:val="0"/>
          <w:numId w:val="96"/>
        </w:numPr>
        <w:spacing w:before="0" w:after="0"/>
        <w:jc w:val="left"/>
      </w:pPr>
      <w:r>
        <w:rPr>
          <w:rFonts w:ascii="Times New Roman" w:hAnsi="Times New Roman"/>
          <w:b/>
          <w:i w:val="false"/>
          <w:color w:val="000000"/>
          <w:sz w:val="22"/>
        </w:rPr>
        <w:t>资产端规模</w:t>
      </w:r>
      <w:r>
        <w:rPr>
          <w:rFonts w:ascii="Times New Roman" w:hAnsi="Times New Roman"/>
          <w:b w:val="false"/>
          <w:i w:val="false"/>
          <w:color w:val="000000"/>
          <w:sz w:val="22"/>
        </w:rPr>
        <w:t>：</w:t>
      </w:r>
    </w:p>
    <w:p>
      <w:pPr>
        <w:numPr>
          <w:ilvl w:val="0"/>
          <w:numId w:val="96"/>
        </w:numPr>
        <w:spacing w:before="0" w:after="0"/>
        <w:jc w:val="left"/>
      </w:pPr>
      <w:r>
        <w:rPr>
          <w:rFonts w:ascii="Times New Roman" w:hAnsi="Times New Roman"/>
          <w:b w:val="false"/>
          <w:i w:val="false"/>
          <w:color w:val="000000"/>
          <w:sz w:val="22"/>
        </w:rPr>
        <w:t>2025Q3资产总计约</w:t>
      </w:r>
      <w:r>
        <w:rPr>
          <w:rFonts w:ascii="Times New Roman" w:hAnsi="Times New Roman"/>
          <w:b/>
          <w:i w:val="false"/>
          <w:color w:val="000000"/>
          <w:sz w:val="22"/>
        </w:rPr>
        <w:t>24.57亿元</w:t>
      </w:r>
      <w:r>
        <w:rPr>
          <w:rFonts w:ascii="Times New Roman" w:hAnsi="Times New Roman"/>
          <w:b w:val="false"/>
          <w:i w:val="false"/>
          <w:color w:val="000000"/>
          <w:sz w:val="22"/>
        </w:rPr>
        <w:t>，其中货币资金</w:t>
      </w:r>
      <w:r>
        <w:rPr>
          <w:rFonts w:ascii="Times New Roman" w:hAnsi="Times New Roman"/>
          <w:b/>
          <w:i w:val="false"/>
          <w:color w:val="000000"/>
          <w:sz w:val="22"/>
        </w:rPr>
        <w:t>0.93亿元</w:t>
      </w:r>
      <w:r>
        <w:rPr>
          <w:rFonts w:ascii="Times New Roman" w:hAnsi="Times New Roman"/>
          <w:b w:val="false"/>
          <w:i w:val="false"/>
          <w:color w:val="000000"/>
          <w:sz w:val="22"/>
        </w:rPr>
        <w:t>、交易性金融资产约</w:t>
      </w:r>
      <w:r>
        <w:rPr>
          <w:rFonts w:ascii="Times New Roman" w:hAnsi="Times New Roman"/>
          <w:b/>
          <w:i w:val="false"/>
          <w:color w:val="000000"/>
          <w:sz w:val="22"/>
        </w:rPr>
        <w:t>11.39亿元</w:t>
      </w:r>
      <w:r>
        <w:rPr>
          <w:rFonts w:ascii="Times New Roman" w:hAnsi="Times New Roman"/>
          <w:b w:val="false"/>
          <w:i w:val="false"/>
          <w:color w:val="000000"/>
          <w:sz w:val="22"/>
        </w:rPr>
        <w:t>、其他非流动金融资产约</w:t>
      </w:r>
      <w:r>
        <w:rPr>
          <w:rFonts w:ascii="Times New Roman" w:hAnsi="Times New Roman"/>
          <w:b/>
          <w:i w:val="false"/>
          <w:color w:val="000000"/>
          <w:sz w:val="22"/>
        </w:rPr>
        <w:t>3.45亿元</w:t>
      </w:r>
      <w:r>
        <w:rPr>
          <w:rFonts w:ascii="Times New Roman" w:hAnsi="Times New Roman"/>
          <w:b w:val="false"/>
          <w:i w:val="false"/>
          <w:color w:val="000000"/>
          <w:sz w:val="22"/>
        </w:rPr>
        <w:t>，金融资产</w:t>
      </w:r>
      <w:r>
        <w:rPr>
          <w:rFonts w:ascii="Times New Roman" w:hAnsi="Times New Roman"/>
          <w:b/>
          <w:i w:val="false"/>
          <w:color w:val="000000"/>
          <w:sz w:val="22"/>
        </w:rPr>
        <w:t>合计接近15亿元</w:t>
      </w:r>
      <w:r>
        <w:rPr>
          <w:rFonts w:ascii="Times New Roman" w:hAnsi="Times New Roman"/>
          <w:b w:val="false"/>
          <w:i w:val="false"/>
          <w:color w:val="000000"/>
          <w:sz w:val="22"/>
        </w:rPr>
        <w:t>。</w:t>
      </w:r>
    </w:p>
    <w:p>
      <w:pPr>
        <w:numPr>
          <w:ilvl w:val="0"/>
          <w:numId w:val="96"/>
        </w:numPr>
        <w:spacing w:before="0" w:after="0"/>
        <w:jc w:val="left"/>
      </w:pPr>
      <w:r>
        <w:rPr>
          <w:rFonts w:ascii="Times New Roman" w:hAnsi="Times New Roman"/>
          <w:b/>
          <w:i w:val="false"/>
          <w:color w:val="000000"/>
          <w:sz w:val="22"/>
        </w:rPr>
        <w:t>结构与收益率</w:t>
      </w:r>
      <w:r>
        <w:rPr>
          <w:rFonts w:ascii="Times New Roman" w:hAnsi="Times New Roman"/>
          <w:b w:val="false"/>
          <w:i w:val="false"/>
          <w:color w:val="000000"/>
          <w:sz w:val="22"/>
        </w:rPr>
        <w:t>：</w:t>
      </w:r>
    </w:p>
    <w:p>
      <w:pPr>
        <w:numPr>
          <w:ilvl w:val="0"/>
          <w:numId w:val="96"/>
        </w:numPr>
        <w:spacing w:before="0" w:after="0"/>
        <w:jc w:val="left"/>
      </w:pPr>
      <w:r>
        <w:rPr>
          <w:rFonts w:ascii="Times New Roman" w:hAnsi="Times New Roman"/>
          <w:b w:val="false"/>
          <w:i w:val="false"/>
          <w:color w:val="000000"/>
          <w:sz w:val="22"/>
        </w:rPr>
        <w:t>股票约</w:t>
      </w:r>
      <w:r>
        <w:rPr>
          <w:rFonts w:ascii="Times New Roman" w:hAnsi="Times New Roman"/>
          <w:b/>
          <w:i w:val="false"/>
          <w:color w:val="000000"/>
          <w:sz w:val="22"/>
        </w:rPr>
        <w:t>2.94亿元</w:t>
      </w:r>
      <w:r>
        <w:rPr>
          <w:rFonts w:ascii="Times New Roman" w:hAnsi="Times New Roman"/>
          <w:b w:val="false"/>
          <w:i w:val="false"/>
          <w:color w:val="000000"/>
          <w:sz w:val="22"/>
        </w:rPr>
        <w:t>、理财产品约</w:t>
      </w:r>
      <w:r>
        <w:rPr>
          <w:rFonts w:ascii="Times New Roman" w:hAnsi="Times New Roman"/>
          <w:b/>
          <w:i w:val="false"/>
          <w:color w:val="000000"/>
          <w:sz w:val="22"/>
        </w:rPr>
        <w:t>3.03亿元</w:t>
      </w:r>
      <w:r>
        <w:rPr>
          <w:rFonts w:ascii="Times New Roman" w:hAnsi="Times New Roman"/>
          <w:b w:val="false"/>
          <w:i w:val="false"/>
          <w:color w:val="000000"/>
          <w:sz w:val="22"/>
        </w:rPr>
        <w:t>、信托产品约</w:t>
      </w:r>
      <w:r>
        <w:rPr>
          <w:rFonts w:ascii="Times New Roman" w:hAnsi="Times New Roman"/>
          <w:b/>
          <w:i w:val="false"/>
          <w:color w:val="000000"/>
          <w:sz w:val="22"/>
        </w:rPr>
        <w:t>7.27亿元</w:t>
      </w:r>
      <w:r>
        <w:rPr>
          <w:rFonts w:ascii="Times New Roman" w:hAnsi="Times New Roman"/>
          <w:b w:val="false"/>
          <w:i w:val="false"/>
          <w:color w:val="000000"/>
          <w:sz w:val="22"/>
        </w:rPr>
        <w:t>、基金产品约</w:t>
      </w:r>
      <w:r>
        <w:rPr>
          <w:rFonts w:ascii="Times New Roman" w:hAnsi="Times New Roman"/>
          <w:b/>
          <w:i w:val="false"/>
          <w:color w:val="000000"/>
          <w:sz w:val="22"/>
        </w:rPr>
        <w:t>1.04亿元</w:t>
      </w:r>
      <w:r>
        <w:rPr>
          <w:rFonts w:ascii="Times New Roman" w:hAnsi="Times New Roman"/>
          <w:b w:val="false"/>
          <w:i w:val="false"/>
          <w:color w:val="000000"/>
          <w:sz w:val="22"/>
        </w:rPr>
        <w:t>， 叠加一年内到期信托</w:t>
      </w:r>
      <w:r>
        <w:rPr>
          <w:rFonts w:ascii="Times New Roman" w:hAnsi="Times New Roman"/>
          <w:b/>
          <w:i w:val="false"/>
          <w:color w:val="000000"/>
          <w:sz w:val="22"/>
        </w:rPr>
        <w:t>1.10亿元</w:t>
      </w:r>
      <w:r>
        <w:rPr>
          <w:rFonts w:ascii="Times New Roman" w:hAnsi="Times New Roman"/>
          <w:b w:val="false"/>
          <w:i w:val="false"/>
          <w:color w:val="000000"/>
          <w:sz w:val="22"/>
        </w:rPr>
        <w:t>及“其他非流动金融资产-信托+权益投资”</w:t>
      </w:r>
      <w:r>
        <w:rPr>
          <w:rFonts w:ascii="Times New Roman" w:hAnsi="Times New Roman"/>
          <w:b/>
          <w:i w:val="false"/>
          <w:color w:val="000000"/>
          <w:sz w:val="22"/>
        </w:rPr>
        <w:t>3.58亿元</w:t>
      </w:r>
      <w:r>
        <w:rPr>
          <w:rFonts w:ascii="Times New Roman" w:hAnsi="Times New Roman"/>
          <w:b w:val="false"/>
          <w:i w:val="false"/>
          <w:color w:val="000000"/>
          <w:sz w:val="22"/>
        </w:rPr>
        <w:t>，形成**“权益波动+固收理财”组合**。</w:t>
      </w:r>
    </w:p>
    <w:p>
      <w:pPr>
        <w:numPr>
          <w:ilvl w:val="0"/>
          <w:numId w:val="96"/>
        </w:numPr>
        <w:spacing w:before="0" w:after="0"/>
        <w:jc w:val="left"/>
      </w:pPr>
      <w:r>
        <w:rPr>
          <w:rFonts w:ascii="Times New Roman" w:hAnsi="Times New Roman"/>
          <w:b w:val="false"/>
          <w:i w:val="false"/>
          <w:color w:val="000000"/>
          <w:sz w:val="22"/>
        </w:rPr>
        <w:t>理财、信托、基金主体收益稳定，2025H1委托理财贡献</w:t>
      </w:r>
      <w:r>
        <w:rPr>
          <w:rFonts w:ascii="Times New Roman" w:hAnsi="Times New Roman"/>
          <w:b/>
          <w:i w:val="false"/>
          <w:color w:val="000000"/>
          <w:sz w:val="22"/>
        </w:rPr>
        <w:t>2263.04万元</w:t>
      </w:r>
      <w:r>
        <w:rPr>
          <w:rFonts w:ascii="Times New Roman" w:hAnsi="Times New Roman"/>
          <w:b w:val="false"/>
          <w:i w:val="false"/>
          <w:color w:val="000000"/>
          <w:sz w:val="22"/>
        </w:rPr>
        <w:t>收益，预计2025-2026年年化收益率在**3%-4%**区间，取决于利率中枢与产品久期结构。</w:t>
      </w:r>
    </w:p>
    <w:p>
      <w:pPr>
        <w:numPr>
          <w:ilvl w:val="0"/>
          <w:numId w:val="96"/>
        </w:numPr>
        <w:spacing w:before="0" w:after="0"/>
        <w:jc w:val="left"/>
      </w:pPr>
      <w:r>
        <w:rPr>
          <w:rFonts w:ascii="Times New Roman" w:hAnsi="Times New Roman"/>
          <w:b w:val="false"/>
          <w:i w:val="false"/>
          <w:color w:val="000000"/>
          <w:sz w:val="22"/>
        </w:rPr>
        <w:t>权益投资和股票公允价值变动对净利影响双向放大：2024年曾显著拉高净利，2025年前三季度则形成超过**-2亿元**级别的拖累。未来两年若A股延续温和修复、估值中枢抬升，则有望从亏损转为正贡献，但波动难以消除。</w:t>
      </w:r>
    </w:p>
    <w:p>
      <w:pPr>
        <w:numPr>
          <w:ilvl w:val="0"/>
          <w:numId w:val="97"/>
        </w:numPr>
        <w:spacing w:before="0" w:after="0"/>
        <w:jc w:val="left"/>
      </w:pPr>
      <w:r>
        <w:rPr>
          <w:rFonts w:ascii="Times New Roman" w:hAnsi="Times New Roman"/>
          <w:b/>
          <w:i w:val="false"/>
          <w:color w:val="000000"/>
          <w:sz w:val="22"/>
        </w:rPr>
        <w:t>ROE与增长节奏判断</w:t>
      </w:r>
    </w:p>
    <w:p>
      <w:pPr>
        <w:numPr>
          <w:ilvl w:val="0"/>
          <w:numId w:val="98"/>
        </w:numPr>
        <w:spacing w:before="0" w:after="0"/>
        <w:jc w:val="left"/>
      </w:pPr>
      <w:r>
        <w:rPr>
          <w:rFonts w:ascii="Times New Roman" w:hAnsi="Times New Roman"/>
          <w:b w:val="false"/>
          <w:i w:val="false"/>
          <w:color w:val="000000"/>
          <w:sz w:val="22"/>
        </w:rPr>
        <w:t>2025年前三季度季度ROE分别为</w:t>
      </w:r>
      <w:r>
        <w:rPr>
          <w:rFonts w:ascii="Times New Roman" w:hAnsi="Times New Roman"/>
          <w:b/>
          <w:i w:val="false"/>
          <w:color w:val="000000"/>
          <w:sz w:val="22"/>
        </w:rPr>
        <w:t>0.72%、2.43%、1.01%</w:t>
      </w:r>
      <w:r>
        <w:rPr>
          <w:rFonts w:ascii="Times New Roman" w:hAnsi="Times New Roman"/>
          <w:b w:val="false"/>
          <w:i w:val="false"/>
          <w:color w:val="000000"/>
          <w:sz w:val="22"/>
        </w:rPr>
        <w:t>（披露口径），扣非ROE则在**0.79%-1.84%</w:t>
      </w:r>
      <w:r>
        <w:rPr>
          <w:rFonts w:ascii="Times New Roman" w:hAnsi="Times New Roman"/>
          <w:b/>
          <w:i w:val="false"/>
          <w:color w:val="000000"/>
          <w:sz w:val="22"/>
        </w:rPr>
        <w:t>区间，折算年化约</w:t>
      </w:r>
      <w:r>
        <w:rPr>
          <w:rFonts w:ascii="Times New Roman" w:hAnsi="Times New Roman"/>
          <w:b w:val="false"/>
          <w:i w:val="false"/>
          <w:color w:val="000000"/>
          <w:sz w:val="22"/>
        </w:rPr>
        <w:t>4%-6%**的盈利能力。</w:t>
      </w:r>
    </w:p>
    <w:p>
      <w:pPr>
        <w:numPr>
          <w:ilvl w:val="0"/>
          <w:numId w:val="98"/>
        </w:numPr>
        <w:spacing w:before="0" w:after="0"/>
        <w:jc w:val="left"/>
      </w:pPr>
      <w:r>
        <w:rPr>
          <w:rFonts w:ascii="Times New Roman" w:hAnsi="Times New Roman"/>
          <w:b w:val="false"/>
          <w:i w:val="false"/>
          <w:color w:val="000000"/>
          <w:sz w:val="22"/>
        </w:rPr>
        <w:t>结合2024-2025年盈利结构，可以认为：</w:t>
      </w:r>
    </w:p>
    <w:p>
      <w:pPr>
        <w:numPr>
          <w:ilvl w:val="0"/>
          <w:numId w:val="98"/>
        </w:numPr>
        <w:spacing w:before="0" w:after="0"/>
        <w:jc w:val="left"/>
      </w:pPr>
      <w:r>
        <w:rPr>
          <w:rFonts w:ascii="Times New Roman" w:hAnsi="Times New Roman"/>
          <w:b/>
          <w:i w:val="false"/>
          <w:color w:val="000000"/>
          <w:sz w:val="22"/>
        </w:rPr>
        <w:t>“经营层面ROE”</w:t>
      </w:r>
      <w:r>
        <w:rPr>
          <w:rFonts w:ascii="Times New Roman" w:hAnsi="Times New Roman"/>
          <w:b w:val="false"/>
          <w:i w:val="false"/>
          <w:color w:val="000000"/>
          <w:sz w:val="22"/>
        </w:rPr>
        <w:t>（剔除公允价值变动）大致在</w:t>
      </w:r>
      <w:r>
        <w:rPr>
          <w:rFonts w:ascii="Times New Roman" w:hAnsi="Times New Roman"/>
          <w:b/>
          <w:i w:val="false"/>
          <w:color w:val="000000"/>
          <w:sz w:val="22"/>
        </w:rPr>
        <w:t>4%-5%</w:t>
      </w:r>
      <w:r>
        <w:rPr>
          <w:rFonts w:ascii="Times New Roman" w:hAnsi="Times New Roman"/>
          <w:b w:val="false"/>
          <w:i w:val="false"/>
          <w:color w:val="000000"/>
          <w:sz w:val="22"/>
        </w:rPr>
        <w:t>，对应一个稳定但不高的类租赁+百货平台；</w:t>
      </w:r>
    </w:p>
    <w:p>
      <w:pPr>
        <w:numPr>
          <w:ilvl w:val="0"/>
          <w:numId w:val="98"/>
        </w:numPr>
        <w:spacing w:before="0" w:after="0"/>
        <w:jc w:val="left"/>
      </w:pPr>
      <w:r>
        <w:rPr>
          <w:rFonts w:ascii="Times New Roman" w:hAnsi="Times New Roman"/>
          <w:b w:val="false"/>
          <w:i w:val="false"/>
          <w:color w:val="000000"/>
          <w:sz w:val="22"/>
        </w:rPr>
        <w:t>金融资产的公允价值变动使得**“报表ROE”**在3%-15%之间宽幅震荡。</w:t>
      </w:r>
    </w:p>
    <w:p>
      <w:pPr>
        <w:numPr>
          <w:ilvl w:val="0"/>
          <w:numId w:val="98"/>
        </w:numPr>
        <w:spacing w:before="0" w:after="0"/>
        <w:jc w:val="left"/>
      </w:pPr>
      <w:r>
        <w:rPr>
          <w:rFonts w:ascii="Times New Roman" w:hAnsi="Times New Roman"/>
          <w:b w:val="false"/>
          <w:i w:val="false"/>
          <w:color w:val="000000"/>
          <w:sz w:val="22"/>
        </w:rPr>
        <w:t>在宏观基线（社零增速约5%、百货低个位数、利率温和下行）的情景下，</w:t>
      </w:r>
      <w:r>
        <w:rPr>
          <w:rFonts w:ascii="Times New Roman" w:hAnsi="Times New Roman"/>
          <w:b/>
          <w:i w:val="false"/>
          <w:color w:val="000000"/>
          <w:sz w:val="22"/>
        </w:rPr>
        <w:t>2025-2026年公司整体ROE中枢更可能维持在4%-7%之间，利润增速介于-10%至+20%的宽区间。</w:t>
      </w:r>
    </w:p>
    <w:p>
      <w:pPr>
        <w:spacing w:before="180" w:after="180"/>
        <w:ind w:left="120"/>
        <w:jc w:val="left"/>
      </w:pPr>
      <w:r>
        <w:rPr>
          <w:rFonts w:ascii="Times New Roman" w:hAnsi="Times New Roman"/>
          <w:b/>
          <w:i w:val="false"/>
          <w:color w:val="000000"/>
          <w:sz w:val="33"/>
        </w:rPr>
        <w:t>5.2 估值逻辑：PB+清算价值双框架</w:t>
      </w:r>
    </w:p>
    <w:p>
      <w:pPr>
        <w:spacing w:before="199" w:after="199"/>
        <w:ind w:left="120"/>
        <w:jc w:val="left"/>
      </w:pPr>
      <w:r>
        <w:rPr>
          <w:rFonts w:ascii="Times New Roman" w:hAnsi="Times New Roman"/>
          <w:b/>
          <w:i w:val="false"/>
          <w:color w:val="000000"/>
          <w:sz w:val="26"/>
        </w:rPr>
        <w:t>5.2.1 类“消费REITs+资金池”的资产视角</w:t>
      </w:r>
    </w:p>
    <w:p>
      <w:pPr>
        <w:numPr>
          <w:ilvl w:val="0"/>
          <w:numId w:val="99"/>
        </w:numPr>
        <w:spacing w:before="0" w:after="0"/>
        <w:jc w:val="left"/>
      </w:pPr>
      <w:r>
        <w:rPr>
          <w:rFonts w:ascii="Times New Roman" w:hAnsi="Times New Roman"/>
          <w:b/>
          <w:i w:val="false"/>
          <w:color w:val="000000"/>
          <w:sz w:val="22"/>
        </w:rPr>
        <w:t>自持物业与托管资产的“类REITs属性”</w:t>
      </w:r>
    </w:p>
    <w:p>
      <w:pPr>
        <w:numPr>
          <w:ilvl w:val="0"/>
          <w:numId w:val="100"/>
        </w:numPr>
        <w:spacing w:before="0" w:after="0"/>
        <w:jc w:val="left"/>
      </w:pPr>
      <w:r>
        <w:rPr>
          <w:rFonts w:ascii="Times New Roman" w:hAnsi="Times New Roman"/>
          <w:b w:val="false"/>
          <w:i w:val="false"/>
          <w:color w:val="000000"/>
          <w:sz w:val="22"/>
        </w:rPr>
        <w:t>投资性房地产期末账面价值约</w:t>
      </w:r>
      <w:r>
        <w:rPr>
          <w:rFonts w:ascii="Times New Roman" w:hAnsi="Times New Roman"/>
          <w:b/>
          <w:i w:val="false"/>
          <w:color w:val="000000"/>
          <w:sz w:val="22"/>
        </w:rPr>
        <w:t>2471.66万元</w:t>
      </w:r>
      <w:r>
        <w:rPr>
          <w:rFonts w:ascii="Times New Roman" w:hAnsi="Times New Roman"/>
          <w:b w:val="false"/>
          <w:i w:val="false"/>
          <w:color w:val="000000"/>
          <w:sz w:val="22"/>
        </w:rPr>
        <w:t>，虽账面不大，但不包括杭州百货大楼等按固定资产或投资性房地产以成本计量的核心物业，其真实市值明显高于账面。</w:t>
      </w:r>
    </w:p>
    <w:p>
      <w:pPr>
        <w:numPr>
          <w:ilvl w:val="0"/>
          <w:numId w:val="100"/>
        </w:numPr>
        <w:spacing w:before="0" w:after="0"/>
        <w:jc w:val="left"/>
      </w:pPr>
      <w:r>
        <w:rPr>
          <w:rFonts w:ascii="Times New Roman" w:hAnsi="Times New Roman"/>
          <w:b w:val="false"/>
          <w:i w:val="false"/>
          <w:color w:val="000000"/>
          <w:sz w:val="22"/>
        </w:rPr>
        <w:t>委托给银泰运营的杭州百货大楼在2028年后将转租给恒隆旗下公司，租金标准为</w:t>
      </w:r>
      <w:r>
        <w:rPr>
          <w:rFonts w:ascii="Times New Roman" w:hAnsi="Times New Roman"/>
          <w:b/>
          <w:i w:val="false"/>
          <w:color w:val="000000"/>
          <w:sz w:val="22"/>
        </w:rPr>
        <w:t>每季度3750万元，每三年递增4.5%，租期20年</w:t>
      </w:r>
      <w:r>
        <w:rPr>
          <w:rFonts w:ascii="Times New Roman" w:hAnsi="Times New Roman"/>
          <w:b w:val="false"/>
          <w:i w:val="false"/>
          <w:color w:val="000000"/>
          <w:sz w:val="22"/>
        </w:rPr>
        <w:t>，恒隆提供最高</w:t>
      </w:r>
      <w:r>
        <w:rPr>
          <w:rFonts w:ascii="Times New Roman" w:hAnsi="Times New Roman"/>
          <w:b/>
          <w:i w:val="false"/>
          <w:color w:val="000000"/>
          <w:sz w:val="22"/>
        </w:rPr>
        <w:t>7.635亿元保证</w:t>
      </w:r>
      <w:r>
        <w:rPr>
          <w:rFonts w:ascii="Times New Roman" w:hAnsi="Times New Roman"/>
          <w:b w:val="false"/>
          <w:i w:val="false"/>
          <w:color w:val="000000"/>
          <w:sz w:val="22"/>
        </w:rPr>
        <w:t>， 这一长期租约的贴现价值实质上构成公司核心“类REITs现金流资产”。</w:t>
      </w:r>
    </w:p>
    <w:p>
      <w:pPr>
        <w:numPr>
          <w:ilvl w:val="0"/>
          <w:numId w:val="100"/>
        </w:numPr>
        <w:spacing w:before="0" w:after="0"/>
        <w:jc w:val="left"/>
      </w:pPr>
      <w:r>
        <w:rPr>
          <w:rFonts w:ascii="Times New Roman" w:hAnsi="Times New Roman"/>
          <w:b w:val="false"/>
          <w:i w:val="false"/>
          <w:color w:val="000000"/>
          <w:sz w:val="22"/>
        </w:rPr>
        <w:t>再叠加湖墅南路、501城市广场等出租率92%-99%的项目，形成了</w:t>
      </w:r>
      <w:r>
        <w:rPr>
          <w:rFonts w:ascii="Times New Roman" w:hAnsi="Times New Roman"/>
          <w:b/>
          <w:i w:val="false"/>
          <w:color w:val="000000"/>
          <w:sz w:val="22"/>
        </w:rPr>
        <w:t>较稳固的租金与托管利润现金流底座</w:t>
      </w:r>
      <w:r>
        <w:rPr>
          <w:rFonts w:ascii="Times New Roman" w:hAnsi="Times New Roman"/>
          <w:b w:val="false"/>
          <w:i w:val="false"/>
          <w:color w:val="000000"/>
          <w:sz w:val="22"/>
        </w:rPr>
        <w:t>。</w:t>
      </w:r>
    </w:p>
    <w:p>
      <w:pPr>
        <w:numPr>
          <w:ilvl w:val="0"/>
          <w:numId w:val="101"/>
        </w:numPr>
        <w:spacing w:before="0" w:after="0"/>
        <w:jc w:val="left"/>
      </w:pPr>
      <w:r>
        <w:rPr>
          <w:rFonts w:ascii="Times New Roman" w:hAnsi="Times New Roman"/>
          <w:b/>
          <w:i w:val="false"/>
          <w:color w:val="000000"/>
          <w:sz w:val="22"/>
        </w:rPr>
        <w:t>金融资产与委托理财的“资金池属性”</w:t>
      </w:r>
    </w:p>
    <w:p>
      <w:pPr>
        <w:numPr>
          <w:ilvl w:val="0"/>
          <w:numId w:val="102"/>
        </w:numPr>
        <w:spacing w:before="0" w:after="0"/>
        <w:jc w:val="left"/>
      </w:pPr>
      <w:r>
        <w:rPr>
          <w:rFonts w:ascii="Times New Roman" w:hAnsi="Times New Roman"/>
          <w:b w:val="false"/>
          <w:i w:val="false"/>
          <w:color w:val="000000"/>
          <w:sz w:val="22"/>
        </w:rPr>
        <w:t>截至2025H1，公司货币资金</w:t>
      </w:r>
      <w:r>
        <w:rPr>
          <w:rFonts w:ascii="Times New Roman" w:hAnsi="Times New Roman"/>
          <w:b/>
          <w:i w:val="false"/>
          <w:color w:val="000000"/>
          <w:sz w:val="22"/>
        </w:rPr>
        <w:t>0.69亿元</w:t>
      </w:r>
      <w:r>
        <w:rPr>
          <w:rFonts w:ascii="Times New Roman" w:hAnsi="Times New Roman"/>
          <w:b w:val="false"/>
          <w:i w:val="false"/>
          <w:color w:val="000000"/>
          <w:sz w:val="22"/>
        </w:rPr>
        <w:t>、一年内到期非流动资产（信托）</w:t>
      </w:r>
      <w:r>
        <w:rPr>
          <w:rFonts w:ascii="Times New Roman" w:hAnsi="Times New Roman"/>
          <w:b/>
          <w:i w:val="false"/>
          <w:color w:val="000000"/>
          <w:sz w:val="22"/>
        </w:rPr>
        <w:t>1.10亿元</w:t>
      </w:r>
      <w:r>
        <w:rPr>
          <w:rFonts w:ascii="Times New Roman" w:hAnsi="Times New Roman"/>
          <w:b w:val="false"/>
          <w:i w:val="false"/>
          <w:color w:val="000000"/>
          <w:sz w:val="22"/>
        </w:rPr>
        <w:t>、以公允价值计量的金融资产</w:t>
      </w:r>
      <w:r>
        <w:rPr>
          <w:rFonts w:ascii="Times New Roman" w:hAnsi="Times New Roman"/>
          <w:b/>
          <w:i w:val="false"/>
          <w:color w:val="000000"/>
          <w:sz w:val="22"/>
        </w:rPr>
        <w:t>16.97亿元</w:t>
      </w:r>
      <w:r>
        <w:rPr>
          <w:rFonts w:ascii="Times New Roman" w:hAnsi="Times New Roman"/>
          <w:b w:val="false"/>
          <w:i w:val="false"/>
          <w:color w:val="000000"/>
          <w:sz w:val="22"/>
        </w:rPr>
        <w:t>，其中理财产品</w:t>
      </w:r>
      <w:r>
        <w:rPr>
          <w:rFonts w:ascii="Times New Roman" w:hAnsi="Times New Roman"/>
          <w:b/>
          <w:i w:val="false"/>
          <w:color w:val="000000"/>
          <w:sz w:val="22"/>
        </w:rPr>
        <w:t>3.03亿元</w:t>
      </w:r>
      <w:r>
        <w:rPr>
          <w:rFonts w:ascii="Times New Roman" w:hAnsi="Times New Roman"/>
          <w:b w:val="false"/>
          <w:i w:val="false"/>
          <w:color w:val="000000"/>
          <w:sz w:val="22"/>
        </w:rPr>
        <w:t>、信托产品</w:t>
      </w:r>
      <w:r>
        <w:rPr>
          <w:rFonts w:ascii="Times New Roman" w:hAnsi="Times New Roman"/>
          <w:b/>
          <w:i w:val="false"/>
          <w:color w:val="000000"/>
          <w:sz w:val="22"/>
        </w:rPr>
        <w:t>7.27亿元</w:t>
      </w:r>
      <w:r>
        <w:rPr>
          <w:rFonts w:ascii="Times New Roman" w:hAnsi="Times New Roman"/>
          <w:b w:val="false"/>
          <w:i w:val="false"/>
          <w:color w:val="000000"/>
          <w:sz w:val="22"/>
        </w:rPr>
        <w:t>、股票</w:t>
      </w:r>
      <w:r>
        <w:rPr>
          <w:rFonts w:ascii="Times New Roman" w:hAnsi="Times New Roman"/>
          <w:b/>
          <w:i w:val="false"/>
          <w:color w:val="000000"/>
          <w:sz w:val="22"/>
        </w:rPr>
        <w:t>2.94亿元</w:t>
      </w:r>
      <w:r>
        <w:rPr>
          <w:rFonts w:ascii="Times New Roman" w:hAnsi="Times New Roman"/>
          <w:b w:val="false"/>
          <w:i w:val="false"/>
          <w:color w:val="000000"/>
          <w:sz w:val="22"/>
        </w:rPr>
        <w:t>、基金</w:t>
      </w:r>
      <w:r>
        <w:rPr>
          <w:rFonts w:ascii="Times New Roman" w:hAnsi="Times New Roman"/>
          <w:b/>
          <w:i w:val="false"/>
          <w:color w:val="000000"/>
          <w:sz w:val="22"/>
        </w:rPr>
        <w:t>1.04亿元</w:t>
      </w:r>
      <w:r>
        <w:rPr>
          <w:rFonts w:ascii="Times New Roman" w:hAnsi="Times New Roman"/>
          <w:b w:val="false"/>
          <w:i w:val="false"/>
          <w:color w:val="000000"/>
          <w:sz w:val="22"/>
        </w:rPr>
        <w:t>、股权投资</w:t>
      </w:r>
      <w:r>
        <w:rPr>
          <w:rFonts w:ascii="Times New Roman" w:hAnsi="Times New Roman"/>
          <w:b/>
          <w:i w:val="false"/>
          <w:color w:val="000000"/>
          <w:sz w:val="22"/>
        </w:rPr>
        <w:t>2.69亿元</w:t>
      </w:r>
      <w:r>
        <w:rPr>
          <w:rFonts w:ascii="Times New Roman" w:hAnsi="Times New Roman"/>
          <w:b w:val="false"/>
          <w:i w:val="false"/>
          <w:color w:val="000000"/>
          <w:sz w:val="22"/>
        </w:rPr>
        <w:t>。</w:t>
      </w:r>
    </w:p>
    <w:p>
      <w:pPr>
        <w:numPr>
          <w:ilvl w:val="0"/>
          <w:numId w:val="102"/>
        </w:numPr>
        <w:spacing w:before="0" w:after="0"/>
        <w:jc w:val="left"/>
      </w:pPr>
      <w:r>
        <w:rPr>
          <w:rFonts w:ascii="Times New Roman" w:hAnsi="Times New Roman"/>
          <w:b w:val="false"/>
          <w:i w:val="false"/>
          <w:color w:val="000000"/>
          <w:sz w:val="22"/>
        </w:rPr>
        <w:t>投资指引明确“稳健经营、风险可控”“稳健优先、收益与风险动态平衡”，委托理财实现稳健收益且无违约案例证明治理与风控专业性较强。</w:t>
      </w:r>
    </w:p>
    <w:p>
      <w:pPr>
        <w:numPr>
          <w:ilvl w:val="0"/>
          <w:numId w:val="102"/>
        </w:numPr>
        <w:spacing w:before="0" w:after="0"/>
        <w:jc w:val="left"/>
      </w:pPr>
      <w:r>
        <w:rPr>
          <w:rFonts w:ascii="Times New Roman" w:hAnsi="Times New Roman"/>
          <w:b w:val="false"/>
          <w:i w:val="false"/>
          <w:color w:val="000000"/>
          <w:sz w:val="22"/>
        </w:rPr>
        <w:t>这部分资产对估值的意义在于：</w:t>
      </w:r>
    </w:p>
    <w:p>
      <w:pPr>
        <w:numPr>
          <w:ilvl w:val="0"/>
          <w:numId w:val="102"/>
        </w:numPr>
        <w:spacing w:before="0" w:after="0"/>
        <w:jc w:val="left"/>
      </w:pPr>
      <w:r>
        <w:rPr>
          <w:rFonts w:ascii="Times New Roman" w:hAnsi="Times New Roman"/>
          <w:b/>
          <w:i w:val="false"/>
          <w:color w:val="000000"/>
          <w:sz w:val="22"/>
        </w:rPr>
        <w:t>一方面</w:t>
      </w:r>
      <w:r>
        <w:rPr>
          <w:rFonts w:ascii="Times New Roman" w:hAnsi="Times New Roman"/>
          <w:b w:val="false"/>
          <w:i w:val="false"/>
          <w:color w:val="000000"/>
          <w:sz w:val="22"/>
        </w:rPr>
        <w:t>提供稳定的利息+理财收益，对冲部分经营波动；</w:t>
      </w:r>
    </w:p>
    <w:p>
      <w:pPr>
        <w:numPr>
          <w:ilvl w:val="0"/>
          <w:numId w:val="102"/>
        </w:numPr>
        <w:spacing w:before="0" w:after="0"/>
        <w:jc w:val="left"/>
      </w:pPr>
      <w:r>
        <w:rPr>
          <w:rFonts w:ascii="Times New Roman" w:hAnsi="Times New Roman"/>
          <w:b/>
          <w:i w:val="false"/>
          <w:color w:val="000000"/>
          <w:sz w:val="22"/>
        </w:rPr>
        <w:t>另一方面</w:t>
      </w:r>
      <w:r>
        <w:rPr>
          <w:rFonts w:ascii="Times New Roman" w:hAnsi="Times New Roman"/>
          <w:b w:val="false"/>
          <w:i w:val="false"/>
          <w:color w:val="000000"/>
          <w:sz w:val="22"/>
        </w:rPr>
        <w:t>在极端悲观情景下，构成公司</w:t>
      </w:r>
      <w:r>
        <w:rPr>
          <w:rFonts w:ascii="Times New Roman" w:hAnsi="Times New Roman"/>
          <w:b/>
          <w:i w:val="false"/>
          <w:color w:val="000000"/>
          <w:sz w:val="22"/>
        </w:rPr>
        <w:t>可变现清算价值的重要组成部分</w:t>
      </w:r>
      <w:r>
        <w:rPr>
          <w:rFonts w:ascii="Times New Roman" w:hAnsi="Times New Roman"/>
          <w:b w:val="false"/>
          <w:i w:val="false"/>
          <w:color w:val="000000"/>
          <w:sz w:val="22"/>
        </w:rPr>
        <w:t>。</w:t>
      </w:r>
    </w:p>
    <w:p>
      <w:pPr>
        <w:spacing w:before="199" w:after="199"/>
        <w:ind w:left="120"/>
        <w:jc w:val="left"/>
      </w:pPr>
      <w:r>
        <w:rPr>
          <w:rFonts w:ascii="Times New Roman" w:hAnsi="Times New Roman"/>
          <w:b/>
          <w:i w:val="false"/>
          <w:color w:val="000000"/>
          <w:sz w:val="26"/>
        </w:rPr>
        <w:t>5.2.2 PB-ROE与折价空间</w:t>
      </w:r>
    </w:p>
    <w:p>
      <w:pPr>
        <w:numPr>
          <w:ilvl w:val="0"/>
          <w:numId w:val="103"/>
        </w:numPr>
        <w:spacing w:before="0" w:after="0"/>
        <w:jc w:val="left"/>
      </w:pPr>
      <w:r>
        <w:rPr>
          <w:rFonts w:ascii="Times New Roman" w:hAnsi="Times New Roman"/>
          <w:b/>
          <w:i w:val="false"/>
          <w:color w:val="000000"/>
          <w:sz w:val="22"/>
        </w:rPr>
        <w:t>当前PB与历史区间</w:t>
      </w:r>
    </w:p>
    <w:p>
      <w:pPr>
        <w:numPr>
          <w:ilvl w:val="0"/>
          <w:numId w:val="104"/>
        </w:numPr>
        <w:spacing w:before="0" w:after="0"/>
        <w:jc w:val="left"/>
      </w:pPr>
      <w:r>
        <w:rPr>
          <w:rFonts w:ascii="Times New Roman" w:hAnsi="Times New Roman"/>
          <w:b w:val="false"/>
          <w:i w:val="false"/>
          <w:color w:val="000000"/>
          <w:sz w:val="22"/>
        </w:rPr>
        <w:t>2025年全年PB（市净率）在</w:t>
      </w:r>
      <w:r>
        <w:rPr>
          <w:rFonts w:ascii="Times New Roman" w:hAnsi="Times New Roman"/>
          <w:b/>
          <w:i w:val="false"/>
          <w:color w:val="000000"/>
          <w:sz w:val="22"/>
        </w:rPr>
        <w:t>1.35x-3.11x</w:t>
      </w:r>
      <w:r>
        <w:rPr>
          <w:rFonts w:ascii="Times New Roman" w:hAnsi="Times New Roman"/>
          <w:b w:val="false"/>
          <w:i w:val="false"/>
          <w:color w:val="000000"/>
          <w:sz w:val="22"/>
        </w:rPr>
        <w:t>区间波动，年初约</w:t>
      </w:r>
      <w:r>
        <w:rPr>
          <w:rFonts w:ascii="Times New Roman" w:hAnsi="Times New Roman"/>
          <w:b/>
          <w:i w:val="false"/>
          <w:color w:val="000000"/>
          <w:sz w:val="22"/>
        </w:rPr>
        <w:t>1.99x</w:t>
      </w:r>
      <w:r>
        <w:rPr>
          <w:rFonts w:ascii="Times New Roman" w:hAnsi="Times New Roman"/>
          <w:b w:val="false"/>
          <w:i w:val="false"/>
          <w:color w:val="000000"/>
          <w:sz w:val="22"/>
        </w:rPr>
        <w:t>，年末在事件催化（减持预期缓和+零售板块情绪）推动下升至</w:t>
      </w:r>
      <w:r>
        <w:rPr>
          <w:rFonts w:ascii="Times New Roman" w:hAnsi="Times New Roman"/>
          <w:b/>
          <w:i w:val="false"/>
          <w:color w:val="000000"/>
          <w:sz w:val="22"/>
        </w:rPr>
        <w:t>3.11x</w:t>
      </w:r>
      <w:r>
        <w:rPr>
          <w:rFonts w:ascii="Times New Roman" w:hAnsi="Times New Roman"/>
          <w:b w:val="false"/>
          <w:i w:val="false"/>
          <w:color w:val="000000"/>
          <w:sz w:val="22"/>
        </w:rPr>
        <w:t>。</w:t>
      </w:r>
    </w:p>
    <w:p>
      <w:pPr>
        <w:numPr>
          <w:ilvl w:val="0"/>
          <w:numId w:val="104"/>
        </w:numPr>
        <w:spacing w:before="0" w:after="0"/>
        <w:jc w:val="left"/>
      </w:pPr>
      <w:r>
        <w:rPr>
          <w:rFonts w:ascii="Times New Roman" w:hAnsi="Times New Roman"/>
          <w:b w:val="false"/>
          <w:i w:val="false"/>
          <w:color w:val="000000"/>
          <w:sz w:val="22"/>
        </w:rPr>
        <w:t>对比A股商贸零售板块：行业ROE（TTM）约</w:t>
      </w:r>
      <w:r>
        <w:rPr>
          <w:rFonts w:ascii="Times New Roman" w:hAnsi="Times New Roman"/>
          <w:b/>
          <w:i w:val="false"/>
          <w:color w:val="000000"/>
          <w:sz w:val="22"/>
        </w:rPr>
        <w:t>4.28%</w:t>
      </w:r>
      <w:r>
        <w:rPr>
          <w:rFonts w:ascii="Times New Roman" w:hAnsi="Times New Roman"/>
          <w:b w:val="false"/>
          <w:i w:val="false"/>
          <w:color w:val="000000"/>
          <w:sz w:val="22"/>
        </w:rPr>
        <w:t>，PB约</w:t>
      </w:r>
      <w:r>
        <w:rPr>
          <w:rFonts w:ascii="Times New Roman" w:hAnsi="Times New Roman"/>
          <w:b/>
          <w:i w:val="false"/>
          <w:color w:val="000000"/>
          <w:sz w:val="22"/>
        </w:rPr>
        <w:t>1.62x</w:t>
      </w:r>
      <w:r>
        <w:rPr>
          <w:rFonts w:ascii="Times New Roman" w:hAnsi="Times New Roman"/>
          <w:b w:val="false"/>
          <w:i w:val="false"/>
          <w:color w:val="000000"/>
          <w:sz w:val="22"/>
        </w:rPr>
        <w:t>，商贸零售整体处于PB-ROE第三象限“低ROE+中低PB”，但百大集团由于金融资产与核心地段物业，PB明显高于多数传统百货公司。</w:t>
      </w:r>
    </w:p>
    <w:p>
      <w:pPr>
        <w:numPr>
          <w:ilvl w:val="0"/>
          <w:numId w:val="105"/>
        </w:numPr>
        <w:spacing w:before="0" w:after="0"/>
        <w:jc w:val="left"/>
      </w:pPr>
      <w:r>
        <w:rPr>
          <w:rFonts w:ascii="Times New Roman" w:hAnsi="Times New Roman"/>
          <w:b/>
          <w:i w:val="false"/>
          <w:color w:val="000000"/>
          <w:sz w:val="22"/>
        </w:rPr>
        <w:t>从PB-ROE模型看合理估值带</w:t>
      </w:r>
    </w:p>
    <w:p>
      <w:pPr>
        <w:numPr>
          <w:ilvl w:val="0"/>
          <w:numId w:val="106"/>
        </w:numPr>
        <w:spacing w:before="0" w:after="0"/>
        <w:jc w:val="left"/>
      </w:pPr>
      <w:r>
        <w:rPr>
          <w:rFonts w:ascii="Times New Roman" w:hAnsi="Times New Roman"/>
          <w:b w:val="false"/>
          <w:i w:val="false"/>
          <w:color w:val="000000"/>
          <w:sz w:val="22"/>
        </w:rPr>
        <w:t>PB-ROE框架下，ROE在</w:t>
      </w:r>
      <w:r>
        <w:rPr>
          <w:rFonts w:ascii="Times New Roman" w:hAnsi="Times New Roman"/>
          <w:b/>
          <w:i w:val="false"/>
          <w:color w:val="000000"/>
          <w:sz w:val="22"/>
        </w:rPr>
        <w:t>4%-6%</w:t>
      </w:r>
      <w:r>
        <w:rPr>
          <w:rFonts w:ascii="Times New Roman" w:hAnsi="Times New Roman"/>
          <w:b/>
          <w:i w:val="false"/>
          <w:color w:val="000000"/>
          <w:sz w:val="22"/>
        </w:rPr>
        <w:t>区间的资产，全球经验对应PB多在</w:t>
      </w:r>
      <w:r>
        <w:rPr>
          <w:rFonts w:ascii="Times New Roman" w:hAnsi="Times New Roman"/>
          <w:b/>
          <w:i w:val="false"/>
          <w:color w:val="000000"/>
          <w:sz w:val="22"/>
        </w:rPr>
        <w:t>0.6x-1.2x</w:t>
      </w:r>
      <w:r>
        <w:rPr>
          <w:rFonts w:ascii="Times New Roman" w:hAnsi="Times New Roman"/>
          <w:b w:val="false"/>
          <w:i w:val="false"/>
          <w:color w:val="000000"/>
          <w:sz w:val="22"/>
        </w:rPr>
        <w:t>，而A股商贸零售长期溢价主要源于</w:t>
      </w:r>
      <w:r>
        <w:rPr>
          <w:rFonts w:ascii="Times New Roman" w:hAnsi="Times New Roman"/>
          <w:b/>
          <w:i w:val="false"/>
          <w:color w:val="000000"/>
          <w:sz w:val="22"/>
        </w:rPr>
        <w:t>自持物业价值+现金流稳定性</w:t>
      </w:r>
      <w:r>
        <w:rPr>
          <w:rFonts w:ascii="Times New Roman" w:hAnsi="Times New Roman"/>
          <w:b w:val="false"/>
          <w:i w:val="false"/>
          <w:color w:val="000000"/>
          <w:sz w:val="22"/>
        </w:rPr>
        <w:t>。</w:t>
      </w:r>
    </w:p>
    <w:p>
      <w:pPr>
        <w:numPr>
          <w:ilvl w:val="0"/>
          <w:numId w:val="106"/>
        </w:numPr>
        <w:spacing w:before="0" w:after="0"/>
        <w:jc w:val="left"/>
      </w:pPr>
      <w:r>
        <w:rPr>
          <w:rFonts w:ascii="Times New Roman" w:hAnsi="Times New Roman"/>
          <w:b w:val="false"/>
          <w:i w:val="false"/>
          <w:color w:val="000000"/>
          <w:sz w:val="22"/>
        </w:rPr>
        <w:t>若按“类银行/类REITs”的低弹性资产看，当前</w:t>
      </w:r>
      <w:r>
        <w:rPr>
          <w:rFonts w:ascii="Times New Roman" w:hAnsi="Times New Roman"/>
          <w:b/>
          <w:i w:val="false"/>
          <w:color w:val="000000"/>
          <w:sz w:val="22"/>
        </w:rPr>
        <w:t>1.5x以上PB</w:t>
      </w:r>
      <w:r>
        <w:rPr>
          <w:rFonts w:ascii="Times New Roman" w:hAnsi="Times New Roman"/>
          <w:b w:val="false"/>
          <w:i w:val="false"/>
          <w:color w:val="000000"/>
          <w:sz w:val="22"/>
        </w:rPr>
        <w:t>已反映了相当程度的资产溢价与事件预期；</w:t>
      </w:r>
    </w:p>
    <w:p>
      <w:pPr>
        <w:numPr>
          <w:ilvl w:val="0"/>
          <w:numId w:val="106"/>
        </w:numPr>
        <w:spacing w:before="0" w:after="0"/>
        <w:jc w:val="left"/>
      </w:pPr>
      <w:r>
        <w:rPr>
          <w:rFonts w:ascii="Times New Roman" w:hAnsi="Times New Roman"/>
          <w:b w:val="false"/>
          <w:i w:val="false"/>
          <w:color w:val="000000"/>
          <w:sz w:val="22"/>
        </w:rPr>
        <w:t>若考虑百大集团持有大量金融资产与长期恒隆租约锁定的现金流折现价值，其“资产溢价+结构性选择权”可在上述区间上移一个档位。</w:t>
      </w:r>
    </w:p>
    <w:p>
      <w:pPr>
        <w:numPr>
          <w:ilvl w:val="0"/>
          <w:numId w:val="107"/>
        </w:numPr>
        <w:spacing w:before="0" w:after="0"/>
        <w:jc w:val="left"/>
      </w:pPr>
      <w:r>
        <w:rPr>
          <w:rFonts w:ascii="Times New Roman" w:hAnsi="Times New Roman"/>
          <w:b/>
          <w:i w:val="false"/>
          <w:color w:val="000000"/>
          <w:sz w:val="22"/>
        </w:rPr>
        <w:t>清算价值视角的安全边际</w:t>
      </w:r>
    </w:p>
    <w:p>
      <w:pPr>
        <w:numPr>
          <w:ilvl w:val="0"/>
          <w:numId w:val="108"/>
        </w:numPr>
        <w:spacing w:before="0" w:after="0"/>
        <w:jc w:val="left"/>
      </w:pPr>
      <w:r>
        <w:rPr>
          <w:rFonts w:ascii="Times New Roman" w:hAnsi="Times New Roman"/>
          <w:b w:val="false"/>
          <w:i w:val="false"/>
          <w:color w:val="000000"/>
          <w:sz w:val="22"/>
        </w:rPr>
        <w:t>以2025Q3数据为横截面，仅定性归纳：</w:t>
      </w:r>
    </w:p>
    <w:p>
      <w:pPr>
        <w:numPr>
          <w:ilvl w:val="0"/>
          <w:numId w:val="108"/>
        </w:numPr>
        <w:spacing w:before="0" w:after="0"/>
        <w:jc w:val="left"/>
      </w:pPr>
      <w:r>
        <w:rPr>
          <w:rFonts w:ascii="Times New Roman" w:hAnsi="Times New Roman"/>
          <w:b/>
          <w:i w:val="false"/>
          <w:color w:val="000000"/>
          <w:sz w:val="22"/>
        </w:rPr>
        <w:t>金融资产+现金</w:t>
      </w:r>
      <w:r>
        <w:rPr>
          <w:rFonts w:ascii="Times New Roman" w:hAnsi="Times New Roman"/>
          <w:b w:val="false"/>
          <w:i w:val="false"/>
          <w:color w:val="000000"/>
          <w:sz w:val="22"/>
        </w:rPr>
        <w:t>：</w:t>
      </w:r>
    </w:p>
    <w:p>
      <w:pPr>
        <w:numPr>
          <w:ilvl w:val="0"/>
          <w:numId w:val="108"/>
        </w:numPr>
        <w:spacing w:before="0" w:after="0"/>
        <w:jc w:val="left"/>
      </w:pPr>
      <w:r>
        <w:rPr>
          <w:rFonts w:ascii="Times New Roman" w:hAnsi="Times New Roman"/>
          <w:b w:val="false"/>
          <w:i w:val="false"/>
          <w:color w:val="000000"/>
          <w:sz w:val="22"/>
        </w:rPr>
        <w:t>货币资金约</w:t>
      </w:r>
      <w:r>
        <w:rPr>
          <w:rFonts w:ascii="Times New Roman" w:hAnsi="Times New Roman"/>
          <w:b/>
          <w:i w:val="false"/>
          <w:color w:val="000000"/>
          <w:sz w:val="22"/>
        </w:rPr>
        <w:t>0.93亿元</w:t>
      </w:r>
      <w:r>
        <w:rPr>
          <w:rFonts w:ascii="Times New Roman" w:hAnsi="Times New Roman"/>
          <w:b w:val="false"/>
          <w:i w:val="false"/>
          <w:color w:val="000000"/>
          <w:sz w:val="22"/>
        </w:rPr>
        <w:t>；</w:t>
      </w:r>
    </w:p>
    <w:p>
      <w:pPr>
        <w:numPr>
          <w:ilvl w:val="0"/>
          <w:numId w:val="108"/>
        </w:numPr>
        <w:spacing w:before="0" w:after="0"/>
        <w:jc w:val="left"/>
      </w:pPr>
      <w:r>
        <w:rPr>
          <w:rFonts w:ascii="Times New Roman" w:hAnsi="Times New Roman"/>
          <w:b w:val="false"/>
          <w:i w:val="false"/>
          <w:color w:val="000000"/>
          <w:sz w:val="22"/>
        </w:rPr>
        <w:t>交易性金融资产</w:t>
      </w:r>
      <w:r>
        <w:rPr>
          <w:rFonts w:ascii="Times New Roman" w:hAnsi="Times New Roman"/>
          <w:b/>
          <w:i w:val="false"/>
          <w:color w:val="000000"/>
          <w:sz w:val="22"/>
        </w:rPr>
        <w:t>11.39亿元</w:t>
      </w:r>
      <w:r>
        <w:rPr>
          <w:rFonts w:ascii="Times New Roman" w:hAnsi="Times New Roman"/>
          <w:b w:val="false"/>
          <w:i w:val="false"/>
          <w:color w:val="000000"/>
          <w:sz w:val="22"/>
        </w:rPr>
        <w:t>；</w:t>
      </w:r>
    </w:p>
    <w:p>
      <w:pPr>
        <w:numPr>
          <w:ilvl w:val="0"/>
          <w:numId w:val="108"/>
        </w:numPr>
        <w:spacing w:before="0" w:after="0"/>
        <w:jc w:val="left"/>
      </w:pPr>
      <w:r>
        <w:rPr>
          <w:rFonts w:ascii="Times New Roman" w:hAnsi="Times New Roman"/>
          <w:b w:val="false"/>
          <w:i w:val="false"/>
          <w:color w:val="000000"/>
          <w:sz w:val="22"/>
        </w:rPr>
        <w:t>其他非流动金融资产（含信托、股权）</w:t>
      </w:r>
      <w:r>
        <w:rPr>
          <w:rFonts w:ascii="Times New Roman" w:hAnsi="Times New Roman"/>
          <w:b/>
          <w:i w:val="false"/>
          <w:color w:val="000000"/>
          <w:sz w:val="22"/>
        </w:rPr>
        <w:t>3.45亿元</w:t>
      </w:r>
      <w:r>
        <w:rPr>
          <w:rFonts w:ascii="Times New Roman" w:hAnsi="Times New Roman"/>
          <w:b w:val="false"/>
          <w:i w:val="false"/>
          <w:color w:val="000000"/>
          <w:sz w:val="22"/>
        </w:rPr>
        <w:t>；</w:t>
      </w:r>
    </w:p>
    <w:p>
      <w:pPr>
        <w:numPr>
          <w:ilvl w:val="0"/>
          <w:numId w:val="108"/>
        </w:numPr>
        <w:spacing w:before="0" w:after="0"/>
        <w:jc w:val="left"/>
      </w:pPr>
      <w:r>
        <w:rPr>
          <w:rFonts w:ascii="Times New Roman" w:hAnsi="Times New Roman"/>
          <w:b w:val="false"/>
          <w:i w:val="false"/>
          <w:color w:val="000000"/>
          <w:sz w:val="22"/>
        </w:rPr>
        <w:t>一年内到期信托</w:t>
      </w:r>
      <w:r>
        <w:rPr>
          <w:rFonts w:ascii="Times New Roman" w:hAnsi="Times New Roman"/>
          <w:b/>
          <w:i w:val="false"/>
          <w:color w:val="000000"/>
          <w:sz w:val="22"/>
        </w:rPr>
        <w:t>1.10亿元</w:t>
      </w:r>
      <w:r>
        <w:rPr>
          <w:rFonts w:ascii="Times New Roman" w:hAnsi="Times New Roman"/>
          <w:b w:val="false"/>
          <w:i w:val="false"/>
          <w:color w:val="000000"/>
          <w:sz w:val="22"/>
        </w:rPr>
        <w:t>；</w:t>
      </w:r>
    </w:p>
    <w:p>
      <w:pPr>
        <w:numPr>
          <w:ilvl w:val="0"/>
          <w:numId w:val="108"/>
        </w:numPr>
        <w:spacing w:before="0" w:after="0"/>
        <w:jc w:val="left"/>
      </w:pPr>
      <w:r>
        <w:rPr>
          <w:rFonts w:ascii="Times New Roman" w:hAnsi="Times New Roman"/>
          <w:b w:val="false"/>
          <w:i w:val="false"/>
          <w:color w:val="000000"/>
          <w:sz w:val="22"/>
        </w:rPr>
        <w:t>合计可视为</w:t>
      </w:r>
      <w:r>
        <w:rPr>
          <w:rFonts w:ascii="Times New Roman" w:hAnsi="Times New Roman"/>
          <w:b/>
          <w:i w:val="false"/>
          <w:color w:val="000000"/>
          <w:sz w:val="22"/>
        </w:rPr>
        <w:t>15亿元左右金融资产池</w:t>
      </w:r>
      <w:r>
        <w:rPr>
          <w:rFonts w:ascii="Times New Roman" w:hAnsi="Times New Roman"/>
          <w:b w:val="false"/>
          <w:i w:val="false"/>
          <w:color w:val="000000"/>
          <w:sz w:val="22"/>
        </w:rPr>
        <w:t>，其中理财+信托占比高，变现折价有限。</w:t>
      </w:r>
    </w:p>
    <w:p>
      <w:pPr>
        <w:numPr>
          <w:ilvl w:val="0"/>
          <w:numId w:val="108"/>
        </w:numPr>
        <w:spacing w:before="0" w:after="0"/>
        <w:jc w:val="left"/>
      </w:pPr>
      <w:r>
        <w:rPr>
          <w:rFonts w:ascii="Times New Roman" w:hAnsi="Times New Roman"/>
          <w:b/>
          <w:i w:val="false"/>
          <w:color w:val="000000"/>
          <w:sz w:val="22"/>
        </w:rPr>
        <w:t>物业与租约价值</w:t>
      </w:r>
      <w:r>
        <w:rPr>
          <w:rFonts w:ascii="Times New Roman" w:hAnsi="Times New Roman"/>
          <w:b w:val="false"/>
          <w:i w:val="false"/>
          <w:color w:val="000000"/>
          <w:sz w:val="22"/>
        </w:rPr>
        <w:t>：</w:t>
      </w:r>
    </w:p>
    <w:p>
      <w:pPr>
        <w:numPr>
          <w:ilvl w:val="0"/>
          <w:numId w:val="108"/>
        </w:numPr>
        <w:spacing w:before="0" w:after="0"/>
        <w:jc w:val="left"/>
      </w:pPr>
      <w:r>
        <w:rPr>
          <w:rFonts w:ascii="Times New Roman" w:hAnsi="Times New Roman"/>
          <w:b w:val="false"/>
          <w:i w:val="false"/>
          <w:color w:val="000000"/>
          <w:sz w:val="22"/>
        </w:rPr>
        <w:t>投资性房地产账面价值</w:t>
      </w:r>
      <w:r>
        <w:rPr>
          <w:rFonts w:ascii="Times New Roman" w:hAnsi="Times New Roman"/>
          <w:b/>
          <w:i w:val="false"/>
          <w:color w:val="000000"/>
          <w:sz w:val="22"/>
        </w:rPr>
        <w:t>0.25亿元</w:t>
      </w:r>
      <w:r>
        <w:rPr>
          <w:rFonts w:ascii="Times New Roman" w:hAnsi="Times New Roman"/>
          <w:b w:val="false"/>
          <w:i w:val="false"/>
          <w:color w:val="000000"/>
          <w:sz w:val="22"/>
        </w:rPr>
        <w:t>，但核心价值在于</w:t>
      </w:r>
      <w:r>
        <w:rPr>
          <w:rFonts w:ascii="Times New Roman" w:hAnsi="Times New Roman"/>
          <w:b/>
          <w:i w:val="false"/>
          <w:color w:val="000000"/>
          <w:sz w:val="22"/>
        </w:rPr>
        <w:t>杭州百货大楼未来20年恒隆租约</w:t>
      </w:r>
      <w:r>
        <w:rPr>
          <w:rFonts w:ascii="Times New Roman" w:hAnsi="Times New Roman"/>
          <w:b w:val="false"/>
          <w:i w:val="false"/>
          <w:color w:val="000000"/>
          <w:sz w:val="22"/>
        </w:rPr>
        <w:t>（每季度3750万元递增4.5%）与高出租率的商业/写字楼项目，其市值明显高于账面；</w:t>
      </w:r>
    </w:p>
    <w:p>
      <w:pPr>
        <w:spacing w:before="269" w:after="269"/>
        <w:ind w:left="120"/>
        <w:jc w:val="left"/>
      </w:pPr>
      <w:r>
        <w:rPr>
          <w:rFonts w:ascii="Times New Roman" w:hAnsi="Times New Roman"/>
          <w:b w:val="false"/>
          <w:i w:val="false"/>
          <w:color w:val="000000"/>
          <w:sz w:val="22"/>
        </w:rPr>
        <w:t>在极端清算假设下，即便对权益类投资与少数非标资产做较大折扣，</w:t>
      </w:r>
      <w:r>
        <w:rPr>
          <w:rFonts w:ascii="Times New Roman" w:hAnsi="Times New Roman"/>
          <w:b/>
          <w:i w:val="false"/>
          <w:color w:val="000000"/>
          <w:sz w:val="22"/>
        </w:rPr>
        <w:t>可变现资产对当前约70亿元左右总市值具备一定托底能力</w:t>
      </w:r>
      <w:r>
        <w:rPr>
          <w:rFonts w:ascii="Times New Roman" w:hAnsi="Times New Roman"/>
          <w:b w:val="false"/>
          <w:i w:val="false"/>
          <w:color w:val="000000"/>
          <w:sz w:val="22"/>
        </w:rPr>
        <w:t>，这也是市场愿意给予公司高于一般百货企业PB的核心原因。</w:t>
      </w:r>
    </w:p>
    <w:p>
      <w:pPr>
        <w:spacing w:before="269" w:after="269"/>
        <w:ind w:left="120"/>
        <w:jc w:val="left"/>
      </w:pPr>
      <w:r>
        <w:rPr>
          <w:rFonts w:ascii="Times New Roman" w:hAnsi="Times New Roman"/>
          <w:b w:val="false"/>
          <w:i w:val="false"/>
          <w:color w:val="000000"/>
          <w:sz w:val="22"/>
        </w:rPr>
        <w:t>综上，</w:t>
      </w:r>
      <w:r>
        <w:rPr>
          <w:rFonts w:ascii="Times New Roman" w:hAnsi="Times New Roman"/>
          <w:b/>
          <w:i w:val="false"/>
          <w:color w:val="000000"/>
          <w:sz w:val="22"/>
        </w:rPr>
        <w:t>中期估值更适合在1.3x-2.0x PB区间内，以“资产折价+现金流折现”视角进行动态交易，而非简单以PE或单一PB静态打分。</w:t>
      </w:r>
    </w:p>
    <w:p>
      <w:pPr>
        <w:spacing w:before="180" w:after="180"/>
        <w:ind w:left="120"/>
        <w:jc w:val="left"/>
      </w:pPr>
      <w:r>
        <w:rPr>
          <w:rFonts w:ascii="Times New Roman" w:hAnsi="Times New Roman"/>
          <w:b/>
          <w:i w:val="false"/>
          <w:color w:val="000000"/>
          <w:sz w:val="33"/>
        </w:rPr>
        <w:t>5.3 2025-2026年关键风险与敏感性</w:t>
      </w:r>
    </w:p>
    <w:p>
      <w:pPr>
        <w:spacing w:before="199" w:after="199"/>
        <w:ind w:left="120"/>
        <w:jc w:val="left"/>
      </w:pPr>
      <w:r>
        <w:rPr>
          <w:rFonts w:ascii="Times New Roman" w:hAnsi="Times New Roman"/>
          <w:b/>
          <w:i w:val="false"/>
          <w:color w:val="000000"/>
          <w:sz w:val="26"/>
        </w:rPr>
        <w:t>5.3.1 股权与非标投资风险</w:t>
      </w:r>
    </w:p>
    <w:p>
      <w:pPr>
        <w:numPr>
          <w:ilvl w:val="0"/>
          <w:numId w:val="109"/>
        </w:numPr>
        <w:spacing w:before="0" w:after="0"/>
        <w:jc w:val="left"/>
      </w:pPr>
      <w:r>
        <w:rPr>
          <w:rFonts w:ascii="Times New Roman" w:hAnsi="Times New Roman"/>
          <w:b/>
          <w:i w:val="false"/>
          <w:color w:val="000000"/>
          <w:sz w:val="22"/>
        </w:rPr>
        <w:t>地产相关投资拖累仍未根本化解</w:t>
      </w:r>
    </w:p>
    <w:p>
      <w:pPr>
        <w:numPr>
          <w:ilvl w:val="0"/>
          <w:numId w:val="110"/>
        </w:numPr>
        <w:spacing w:before="0" w:after="0"/>
        <w:jc w:val="left"/>
      </w:pPr>
      <w:r>
        <w:rPr>
          <w:rFonts w:ascii="Times New Roman" w:hAnsi="Times New Roman"/>
          <w:b w:val="false"/>
          <w:i w:val="false"/>
          <w:color w:val="000000"/>
          <w:sz w:val="22"/>
        </w:rPr>
        <w:t>投资者关系活动多次提及，公司持有的金地商置、杭州工商信托等地产相关权益投资已经对业绩造成明显拖累，独立董事也确认管理层“近几年深入了解房地产行业趋势，一直在积极努力寻求各种解决方案以减缓对上市公司的影响”。</w:t>
      </w:r>
    </w:p>
    <w:p>
      <w:pPr>
        <w:numPr>
          <w:ilvl w:val="0"/>
          <w:numId w:val="110"/>
        </w:numPr>
        <w:spacing w:before="0" w:after="0"/>
        <w:jc w:val="left"/>
      </w:pPr>
      <w:r>
        <w:rPr>
          <w:rFonts w:ascii="Times New Roman" w:hAnsi="Times New Roman"/>
          <w:b w:val="false"/>
          <w:i w:val="false"/>
          <w:color w:val="000000"/>
          <w:sz w:val="22"/>
        </w:rPr>
        <w:t>若地产行业在2025-2026年仅温和筑底，相关资产的</w:t>
      </w:r>
      <w:r>
        <w:rPr>
          <w:rFonts w:ascii="Times New Roman" w:hAnsi="Times New Roman"/>
          <w:b/>
          <w:i w:val="false"/>
          <w:color w:val="000000"/>
          <w:sz w:val="22"/>
        </w:rPr>
        <w:t>公允价值回升节奏与幅度仍具高度不确定性</w:t>
      </w:r>
      <w:r>
        <w:rPr>
          <w:rFonts w:ascii="Times New Roman" w:hAnsi="Times New Roman"/>
          <w:b w:val="false"/>
          <w:i w:val="false"/>
          <w:color w:val="000000"/>
          <w:sz w:val="22"/>
        </w:rPr>
        <w:t>，甚至不排除进一步减值的可能。</w:t>
      </w:r>
    </w:p>
    <w:p>
      <w:pPr>
        <w:numPr>
          <w:ilvl w:val="0"/>
          <w:numId w:val="111"/>
        </w:numPr>
        <w:spacing w:before="0" w:after="0"/>
        <w:jc w:val="left"/>
      </w:pPr>
      <w:r>
        <w:rPr>
          <w:rFonts w:ascii="Times New Roman" w:hAnsi="Times New Roman"/>
          <w:b/>
          <w:i w:val="false"/>
          <w:color w:val="000000"/>
          <w:sz w:val="22"/>
        </w:rPr>
        <w:t>金融资产价格波动直接放大利润弹性</w:t>
      </w:r>
    </w:p>
    <w:p>
      <w:pPr>
        <w:numPr>
          <w:ilvl w:val="0"/>
          <w:numId w:val="112"/>
        </w:numPr>
        <w:spacing w:before="0" w:after="0"/>
        <w:jc w:val="left"/>
      </w:pPr>
      <w:r>
        <w:rPr>
          <w:rFonts w:ascii="Times New Roman" w:hAnsi="Times New Roman"/>
          <w:b w:val="false"/>
          <w:i w:val="false"/>
          <w:color w:val="000000"/>
          <w:sz w:val="22"/>
        </w:rPr>
        <w:t>2024年二级市场股票公允价值大幅提升，直接推动净利润翻数倍；2025年前三季度则反向造成净利润同比**-81.78%**的巨大压力，且单三季度出现归母净利润为负的情况。</w:t>
      </w:r>
    </w:p>
    <w:p>
      <w:pPr>
        <w:numPr>
          <w:ilvl w:val="0"/>
          <w:numId w:val="112"/>
        </w:numPr>
        <w:spacing w:before="0" w:after="0"/>
        <w:jc w:val="left"/>
      </w:pPr>
      <w:r>
        <w:rPr>
          <w:rFonts w:ascii="Times New Roman" w:hAnsi="Times New Roman"/>
          <w:b w:val="false"/>
          <w:i w:val="false"/>
          <w:color w:val="000000"/>
          <w:sz w:val="22"/>
        </w:rPr>
        <w:t>在“权益市场可能震荡上行”的基线情景下，</w:t>
      </w:r>
      <w:r>
        <w:rPr>
          <w:rFonts w:ascii="Times New Roman" w:hAnsi="Times New Roman"/>
          <w:b/>
          <w:i w:val="false"/>
          <w:color w:val="000000"/>
          <w:sz w:val="22"/>
        </w:rPr>
        <w:t>向上弹性存在，但业绩不具确定性，估值修复可能领先于利润修复。</w:t>
      </w:r>
    </w:p>
    <w:p>
      <w:pPr>
        <w:spacing w:before="199" w:after="199"/>
        <w:ind w:left="120"/>
        <w:jc w:val="left"/>
      </w:pPr>
      <w:r>
        <w:rPr>
          <w:rFonts w:ascii="Times New Roman" w:hAnsi="Times New Roman"/>
          <w:b/>
          <w:i w:val="false"/>
          <w:color w:val="000000"/>
          <w:sz w:val="26"/>
        </w:rPr>
        <w:t>5.3.2 主业经营与行业环境风险</w:t>
      </w:r>
    </w:p>
    <w:p>
      <w:pPr>
        <w:numPr>
          <w:ilvl w:val="0"/>
          <w:numId w:val="113"/>
        </w:numPr>
        <w:spacing w:before="0" w:after="0"/>
        <w:jc w:val="left"/>
      </w:pPr>
      <w:r>
        <w:rPr>
          <w:rFonts w:ascii="Times New Roman" w:hAnsi="Times New Roman"/>
          <w:b/>
          <w:i w:val="false"/>
          <w:color w:val="000000"/>
          <w:sz w:val="22"/>
        </w:rPr>
        <w:t>传统百货业态承压，增长空间有限</w:t>
      </w:r>
    </w:p>
    <w:p>
      <w:pPr>
        <w:numPr>
          <w:ilvl w:val="0"/>
          <w:numId w:val="114"/>
        </w:numPr>
        <w:spacing w:before="0" w:after="0"/>
        <w:jc w:val="left"/>
      </w:pPr>
      <w:r>
        <w:rPr>
          <w:rFonts w:ascii="Times New Roman" w:hAnsi="Times New Roman"/>
          <w:b w:val="false"/>
          <w:i w:val="false"/>
          <w:color w:val="000000"/>
          <w:sz w:val="22"/>
        </w:rPr>
        <w:t>2024年全国百货店零售额同比</w:t>
      </w:r>
      <w:r>
        <w:rPr>
          <w:rFonts w:ascii="Times New Roman" w:hAnsi="Times New Roman"/>
          <w:b/>
          <w:i w:val="false"/>
          <w:color w:val="000000"/>
          <w:sz w:val="22"/>
        </w:rPr>
        <w:t>下降2.4%</w:t>
      </w:r>
      <w:r>
        <w:rPr>
          <w:rFonts w:ascii="Times New Roman" w:hAnsi="Times New Roman"/>
          <w:b w:val="false"/>
          <w:i w:val="false"/>
          <w:color w:val="000000"/>
          <w:sz w:val="22"/>
        </w:rPr>
        <w:t>，2025H1百货店零售额仅增长</w:t>
      </w:r>
      <w:r>
        <w:rPr>
          <w:rFonts w:ascii="Times New Roman" w:hAnsi="Times New Roman"/>
          <w:b/>
          <w:i w:val="false"/>
          <w:color w:val="000000"/>
          <w:sz w:val="22"/>
        </w:rPr>
        <w:t>1.2%</w:t>
      </w:r>
      <w:r>
        <w:rPr>
          <w:rFonts w:ascii="Times New Roman" w:hAnsi="Times New Roman"/>
          <w:b w:val="false"/>
          <w:i w:val="false"/>
          <w:color w:val="000000"/>
          <w:sz w:val="22"/>
        </w:rPr>
        <w:t>，显著落后于便利店、超市等业态，传统百货转型压力大。</w:t>
      </w:r>
    </w:p>
    <w:p>
      <w:pPr>
        <w:numPr>
          <w:ilvl w:val="0"/>
          <w:numId w:val="114"/>
        </w:numPr>
        <w:spacing w:before="0" w:after="0"/>
        <w:jc w:val="left"/>
      </w:pPr>
      <w:r>
        <w:rPr>
          <w:rFonts w:ascii="Times New Roman" w:hAnsi="Times New Roman"/>
          <w:b w:val="false"/>
          <w:i w:val="false"/>
          <w:color w:val="000000"/>
          <w:sz w:val="22"/>
        </w:rPr>
        <w:t>公司管理层也坦承杭州百货大楼委托经营利润未达目标，当前客流与销售结构面临挑战。</w:t>
      </w:r>
    </w:p>
    <w:p>
      <w:pPr>
        <w:numPr>
          <w:ilvl w:val="0"/>
          <w:numId w:val="114"/>
        </w:numPr>
        <w:spacing w:before="0" w:after="0"/>
        <w:jc w:val="left"/>
      </w:pPr>
      <w:r>
        <w:rPr>
          <w:rFonts w:ascii="Times New Roman" w:hAnsi="Times New Roman"/>
          <w:b w:val="false"/>
          <w:i w:val="false"/>
          <w:color w:val="000000"/>
          <w:sz w:val="22"/>
        </w:rPr>
        <w:t>即便未来通过恒隆接盘、城市更新等方式释放物业价值，</w:t>
      </w:r>
      <w:r>
        <w:rPr>
          <w:rFonts w:ascii="Times New Roman" w:hAnsi="Times New Roman"/>
          <w:b/>
          <w:i w:val="false"/>
          <w:color w:val="000000"/>
          <w:sz w:val="22"/>
        </w:rPr>
        <w:t>短期内百货主业盈利能力难以显著提升</w:t>
      </w:r>
      <w:r>
        <w:rPr>
          <w:rFonts w:ascii="Times New Roman" w:hAnsi="Times New Roman"/>
          <w:b w:val="false"/>
          <w:i w:val="false"/>
          <w:color w:val="000000"/>
          <w:sz w:val="22"/>
        </w:rPr>
        <w:t>。</w:t>
      </w:r>
    </w:p>
    <w:p>
      <w:pPr>
        <w:numPr>
          <w:ilvl w:val="0"/>
          <w:numId w:val="115"/>
        </w:numPr>
        <w:spacing w:before="0" w:after="0"/>
        <w:jc w:val="left"/>
      </w:pPr>
      <w:r>
        <w:rPr>
          <w:rFonts w:ascii="Times New Roman" w:hAnsi="Times New Roman"/>
          <w:b/>
          <w:i w:val="false"/>
          <w:color w:val="000000"/>
          <w:sz w:val="22"/>
        </w:rPr>
        <w:t>酒店与租赁业务对宏观周期与消费修复敏感</w:t>
      </w:r>
    </w:p>
    <w:p>
      <w:pPr>
        <w:numPr>
          <w:ilvl w:val="0"/>
          <w:numId w:val="116"/>
        </w:numPr>
        <w:spacing w:before="0" w:after="0"/>
        <w:jc w:val="left"/>
      </w:pPr>
      <w:r>
        <w:rPr>
          <w:rFonts w:ascii="Times New Roman" w:hAnsi="Times New Roman"/>
          <w:b w:val="false"/>
          <w:i w:val="false"/>
          <w:color w:val="000000"/>
          <w:sz w:val="22"/>
        </w:rPr>
        <w:t>酒店自营后盈利情况尚不确定；租赁业务虽出租率高，但租金水平和续租条件受宏观经济与消费信心影响较大。</w:t>
      </w:r>
    </w:p>
    <w:p>
      <w:pPr>
        <w:numPr>
          <w:ilvl w:val="0"/>
          <w:numId w:val="116"/>
        </w:numPr>
        <w:spacing w:before="0" w:after="0"/>
        <w:jc w:val="left"/>
      </w:pPr>
      <w:r>
        <w:rPr>
          <w:rFonts w:ascii="Times New Roman" w:hAnsi="Times New Roman"/>
          <w:b w:val="false"/>
          <w:i w:val="false"/>
          <w:color w:val="000000"/>
          <w:sz w:val="22"/>
        </w:rPr>
        <w:t>若2025-2026年消费复苏不及预期，可能通过</w:t>
      </w:r>
      <w:r>
        <w:rPr>
          <w:rFonts w:ascii="Times New Roman" w:hAnsi="Times New Roman"/>
          <w:b/>
          <w:i w:val="false"/>
          <w:color w:val="000000"/>
          <w:sz w:val="22"/>
        </w:rPr>
        <w:t>出租率略降+租金议价压力加大</w:t>
      </w:r>
      <w:r>
        <w:rPr>
          <w:rFonts w:ascii="Times New Roman" w:hAnsi="Times New Roman"/>
          <w:b w:val="false"/>
          <w:i w:val="false"/>
          <w:color w:val="000000"/>
          <w:sz w:val="22"/>
        </w:rPr>
        <w:t>的形式体现，压制租金收入及物业估值。</w:t>
      </w:r>
    </w:p>
    <w:p>
      <w:pPr>
        <w:spacing w:before="199" w:after="199"/>
        <w:ind w:left="120"/>
        <w:jc w:val="left"/>
      </w:pPr>
      <w:r>
        <w:rPr>
          <w:rFonts w:ascii="Times New Roman" w:hAnsi="Times New Roman"/>
          <w:b/>
          <w:i w:val="false"/>
          <w:color w:val="000000"/>
          <w:sz w:val="26"/>
        </w:rPr>
        <w:t>5.3.3 股权结构与市场情绪风险</w:t>
      </w:r>
    </w:p>
    <w:p>
      <w:pPr>
        <w:numPr>
          <w:ilvl w:val="0"/>
          <w:numId w:val="117"/>
        </w:numPr>
        <w:spacing w:before="0" w:after="0"/>
        <w:jc w:val="left"/>
      </w:pPr>
      <w:r>
        <w:rPr>
          <w:rFonts w:ascii="Times New Roman" w:hAnsi="Times New Roman"/>
          <w:b/>
          <w:i w:val="false"/>
          <w:color w:val="000000"/>
          <w:sz w:val="22"/>
        </w:rPr>
        <w:t>第二大股东西子联合持续减持与边际变化</w:t>
      </w:r>
    </w:p>
    <w:p>
      <w:pPr>
        <w:numPr>
          <w:ilvl w:val="0"/>
          <w:numId w:val="118"/>
        </w:numPr>
        <w:spacing w:before="0" w:after="0"/>
        <w:jc w:val="left"/>
      </w:pPr>
      <w:r>
        <w:rPr>
          <w:rFonts w:ascii="Times New Roman" w:hAnsi="Times New Roman"/>
          <w:b w:val="false"/>
          <w:i w:val="false"/>
          <w:color w:val="000000"/>
          <w:sz w:val="22"/>
        </w:rPr>
        <w:t>2025年7月24日，西子联合计划减持不超过</w:t>
      </w:r>
      <w:r>
        <w:rPr>
          <w:rFonts w:ascii="Times New Roman" w:hAnsi="Times New Roman"/>
          <w:b/>
          <w:i w:val="false"/>
          <w:color w:val="000000"/>
          <w:sz w:val="22"/>
        </w:rPr>
        <w:t>3%</w:t>
      </w:r>
      <w:r>
        <w:rPr>
          <w:rFonts w:ascii="Times New Roman" w:hAnsi="Times New Roman"/>
          <w:b/>
          <w:i w:val="false"/>
          <w:color w:val="000000"/>
          <w:sz w:val="22"/>
        </w:rPr>
        <w:t>股份；9月1-9日已通过集中竞价+大宗交易减持</w:t>
      </w:r>
      <w:r>
        <w:rPr>
          <w:rFonts w:ascii="Times New Roman" w:hAnsi="Times New Roman"/>
          <w:b/>
          <w:i w:val="false"/>
          <w:color w:val="000000"/>
          <w:sz w:val="22"/>
        </w:rPr>
        <w:t>2.997%</w:t>
      </w:r>
      <w:r>
        <w:rPr>
          <w:rFonts w:ascii="Times New Roman" w:hAnsi="Times New Roman"/>
          <w:b w:val="false"/>
          <w:i w:val="false"/>
          <w:color w:val="000000"/>
          <w:sz w:val="22"/>
        </w:rPr>
        <w:t>，完成计划，持股比例从15.11%降至12.11%。</w:t>
      </w:r>
    </w:p>
    <w:p>
      <w:pPr>
        <w:numPr>
          <w:ilvl w:val="0"/>
          <w:numId w:val="118"/>
        </w:numPr>
        <w:spacing w:before="0" w:after="0"/>
        <w:jc w:val="left"/>
      </w:pPr>
      <w:r>
        <w:rPr>
          <w:rFonts w:ascii="Times New Roman" w:hAnsi="Times New Roman"/>
          <w:b w:val="false"/>
          <w:i w:val="false"/>
          <w:color w:val="000000"/>
          <w:sz w:val="22"/>
        </w:rPr>
        <w:t>2025年11月15日再次披露新一轮3%减持计划，12月10-11日仅减持</w:t>
      </w:r>
      <w:r>
        <w:rPr>
          <w:rFonts w:ascii="Times New Roman" w:hAnsi="Times New Roman"/>
          <w:b/>
          <w:i w:val="false"/>
          <w:color w:val="000000"/>
          <w:sz w:val="22"/>
        </w:rPr>
        <w:t>0.37%</w:t>
      </w:r>
      <w:r>
        <w:rPr>
          <w:rFonts w:ascii="Times New Roman" w:hAnsi="Times New Roman"/>
          <w:b/>
          <w:i w:val="false"/>
          <w:color w:val="000000"/>
          <w:sz w:val="22"/>
        </w:rPr>
        <w:t>后即宣布提前终止，西子联合及一致行动人合计持股降至</w:t>
      </w:r>
      <w:r>
        <w:rPr>
          <w:rFonts w:ascii="Times New Roman" w:hAnsi="Times New Roman"/>
          <w:b/>
          <w:i w:val="false"/>
          <w:color w:val="000000"/>
          <w:sz w:val="22"/>
        </w:rPr>
        <w:t>15.00%</w:t>
      </w:r>
      <w:r>
        <w:rPr>
          <w:rFonts w:ascii="Times New Roman" w:hAnsi="Times New Roman"/>
          <w:b w:val="false"/>
          <w:i w:val="false"/>
          <w:color w:val="000000"/>
          <w:sz w:val="22"/>
        </w:rPr>
        <w:t>，并停止后续减持。</w:t>
      </w:r>
    </w:p>
    <w:p>
      <w:pPr>
        <w:numPr>
          <w:ilvl w:val="0"/>
          <w:numId w:val="118"/>
        </w:numPr>
        <w:spacing w:before="0" w:after="0"/>
        <w:jc w:val="left"/>
      </w:pPr>
      <w:r>
        <w:rPr>
          <w:rFonts w:ascii="Times New Roman" w:hAnsi="Times New Roman"/>
          <w:b w:val="false"/>
          <w:i w:val="false"/>
          <w:color w:val="000000"/>
          <w:sz w:val="22"/>
        </w:rPr>
        <w:t>管理层公开回应称减持出于其自身资金需求，与公司经营无关，公司财务状况优秀、现金流充足，截至2025Q3委托理财及现金合计逾</w:t>
      </w:r>
      <w:r>
        <w:rPr>
          <w:rFonts w:ascii="Times New Roman" w:hAnsi="Times New Roman"/>
          <w:b/>
          <w:i w:val="false"/>
          <w:color w:val="000000"/>
          <w:sz w:val="22"/>
        </w:rPr>
        <w:t>10亿元</w:t>
      </w:r>
      <w:r>
        <w:rPr>
          <w:rFonts w:ascii="Times New Roman" w:hAnsi="Times New Roman"/>
          <w:b w:val="false"/>
          <w:i w:val="false"/>
          <w:color w:val="000000"/>
          <w:sz w:val="22"/>
        </w:rPr>
        <w:t>。</w:t>
      </w:r>
    </w:p>
    <w:p>
      <w:pPr>
        <w:spacing w:before="269" w:after="269"/>
        <w:ind w:left="120"/>
        <w:jc w:val="left"/>
      </w:pPr>
      <w:r>
        <w:rPr>
          <w:rFonts w:ascii="Times New Roman" w:hAnsi="Times New Roman"/>
          <w:b w:val="false"/>
          <w:i w:val="false"/>
          <w:color w:val="000000"/>
          <w:sz w:val="22"/>
        </w:rPr>
        <w:t>上述路径显示：</w:t>
      </w:r>
    </w:p>
    <w:p>
      <w:pPr>
        <w:numPr>
          <w:ilvl w:val="0"/>
          <w:numId w:val="119"/>
        </w:numPr>
        <w:spacing w:before="0" w:after="0"/>
        <w:jc w:val="left"/>
      </w:pPr>
      <w:r>
        <w:rPr>
          <w:rFonts w:ascii="Times New Roman" w:hAnsi="Times New Roman"/>
          <w:b/>
          <w:i w:val="false"/>
          <w:color w:val="000000"/>
          <w:sz w:val="22"/>
        </w:rPr>
        <w:t>“清仓式减持预期”阶段性缓和</w:t>
      </w:r>
      <w:r>
        <w:rPr>
          <w:rFonts w:ascii="Times New Roman" w:hAnsi="Times New Roman"/>
          <w:b w:val="false"/>
          <w:i w:val="false"/>
          <w:color w:val="000000"/>
          <w:sz w:val="22"/>
        </w:rPr>
        <w:t>，有助于缓解短期股价压力与折价；</w:t>
      </w:r>
    </w:p>
    <w:p>
      <w:pPr>
        <w:numPr>
          <w:ilvl w:val="0"/>
          <w:numId w:val="119"/>
        </w:numPr>
        <w:spacing w:before="0" w:after="0"/>
        <w:jc w:val="left"/>
      </w:pPr>
      <w:r>
        <w:rPr>
          <w:rFonts w:ascii="Times New Roman" w:hAnsi="Times New Roman"/>
          <w:b w:val="false"/>
          <w:i w:val="false"/>
          <w:color w:val="000000"/>
          <w:sz w:val="22"/>
        </w:rPr>
        <w:t>但只要西子联合仍持有中高比例股份，未来再次减持的可能性并未从根本上消除，仍将作为估值折价的**长期“阴影因子”**存在。</w:t>
      </w:r>
    </w:p>
    <w:p>
      <w:pPr>
        <w:numPr>
          <w:ilvl w:val="0"/>
          <w:numId w:val="120"/>
        </w:numPr>
        <w:spacing w:before="0" w:after="0"/>
        <w:jc w:val="left"/>
      </w:pPr>
      <w:r>
        <w:rPr>
          <w:rFonts w:ascii="Times New Roman" w:hAnsi="Times New Roman"/>
          <w:b/>
          <w:i w:val="false"/>
          <w:color w:val="000000"/>
          <w:sz w:val="22"/>
        </w:rPr>
        <w:t>市场情绪对PB溢价波动的放大</w:t>
      </w:r>
    </w:p>
    <w:p>
      <w:pPr>
        <w:numPr>
          <w:ilvl w:val="0"/>
          <w:numId w:val="121"/>
        </w:numPr>
        <w:spacing w:before="0" w:after="0"/>
        <w:jc w:val="left"/>
      </w:pPr>
      <w:r>
        <w:rPr>
          <w:rFonts w:ascii="Times New Roman" w:hAnsi="Times New Roman"/>
          <w:b w:val="false"/>
          <w:i w:val="false"/>
          <w:color w:val="000000"/>
          <w:sz w:val="22"/>
        </w:rPr>
        <w:t>2025年12月，在“零售业创新发展大会”“扩大内需”等政策舆情催化下，百大集团股价出现快速上行，PB从约1.6x拉升至3.1x，典型体现情绪驱动。</w:t>
      </w:r>
    </w:p>
    <w:p>
      <w:pPr>
        <w:numPr>
          <w:ilvl w:val="0"/>
          <w:numId w:val="121"/>
        </w:numPr>
        <w:spacing w:before="0" w:after="0"/>
        <w:jc w:val="left"/>
      </w:pPr>
      <w:r>
        <w:rPr>
          <w:rFonts w:ascii="Times New Roman" w:hAnsi="Times New Roman"/>
          <w:b w:val="false"/>
          <w:i w:val="false"/>
          <w:color w:val="000000"/>
          <w:sz w:val="22"/>
        </w:rPr>
        <w:t>在业绩波动、股权减持与政策预期交织的环境下，</w:t>
      </w:r>
      <w:r>
        <w:rPr>
          <w:rFonts w:ascii="Times New Roman" w:hAnsi="Times New Roman"/>
          <w:b/>
          <w:i w:val="false"/>
          <w:color w:val="000000"/>
          <w:sz w:val="22"/>
        </w:rPr>
        <w:t>股价短期涨跌可能显著偏离基本面中枢</w:t>
      </w:r>
      <w:r>
        <w:rPr>
          <w:rFonts w:ascii="Times New Roman" w:hAnsi="Times New Roman"/>
          <w:b w:val="false"/>
          <w:i w:val="false"/>
          <w:color w:val="000000"/>
          <w:sz w:val="22"/>
        </w:rPr>
        <w:t>，给中短期交易带来机会与风险。</w:t>
      </w:r>
    </w:p>
    <w:p>
      <w:pPr>
        <w:spacing w:before="180" w:after="180"/>
        <w:ind w:left="120"/>
        <w:jc w:val="left"/>
      </w:pPr>
      <w:r>
        <w:rPr>
          <w:rFonts w:ascii="Times New Roman" w:hAnsi="Times New Roman"/>
          <w:b/>
          <w:i w:val="false"/>
          <w:color w:val="000000"/>
          <w:sz w:val="33"/>
        </w:rPr>
        <w:t>5.4 投资启示：定位为“高安全边际、适度弹性”的资产配置</w:t>
      </w:r>
    </w:p>
    <w:p>
      <w:pPr>
        <w:spacing w:before="269" w:after="269"/>
        <w:ind w:left="120"/>
        <w:jc w:val="left"/>
      </w:pPr>
      <w:r>
        <w:rPr>
          <w:rFonts w:ascii="Times New Roman" w:hAnsi="Times New Roman"/>
          <w:b w:val="false"/>
          <w:i w:val="false"/>
          <w:color w:val="000000"/>
          <w:sz w:val="22"/>
        </w:rPr>
        <w:t>综合以上分析，对机构投资者的策略启示可归纳为：</w:t>
      </w:r>
    </w:p>
    <w:p>
      <w:pPr>
        <w:numPr>
          <w:ilvl w:val="0"/>
          <w:numId w:val="122"/>
        </w:numPr>
        <w:spacing w:before="0" w:after="0"/>
        <w:jc w:val="left"/>
      </w:pPr>
      <w:r>
        <w:rPr>
          <w:rFonts w:ascii="Times New Roman" w:hAnsi="Times New Roman"/>
          <w:b/>
          <w:i w:val="false"/>
          <w:color w:val="000000"/>
          <w:sz w:val="22"/>
        </w:rPr>
        <w:t>资产属性定位</w:t>
      </w:r>
      <w:r>
        <w:rPr>
          <w:rFonts w:ascii="Times New Roman" w:hAnsi="Times New Roman"/>
          <w:b w:val="false"/>
          <w:i w:val="false"/>
          <w:color w:val="000000"/>
          <w:sz w:val="22"/>
        </w:rPr>
        <w:t>：百大集团更接近“自持核心物业+稳定托管/租金现金流+大额金融资产池”的</w:t>
      </w:r>
      <w:r>
        <w:rPr>
          <w:rFonts w:ascii="Times New Roman" w:hAnsi="Times New Roman"/>
          <w:b/>
          <w:i w:val="false"/>
          <w:color w:val="000000"/>
          <w:sz w:val="22"/>
        </w:rPr>
        <w:t>资产类标的</w:t>
      </w:r>
      <w:r>
        <w:rPr>
          <w:rFonts w:ascii="Times New Roman" w:hAnsi="Times New Roman"/>
          <w:b w:val="false"/>
          <w:i w:val="false"/>
          <w:color w:val="000000"/>
          <w:sz w:val="22"/>
        </w:rPr>
        <w:t>，而非成长型消费公司。</w:t>
      </w:r>
    </w:p>
    <w:p>
      <w:pPr>
        <w:numPr>
          <w:ilvl w:val="0"/>
          <w:numId w:val="122"/>
        </w:numPr>
        <w:spacing w:before="0" w:after="0"/>
        <w:jc w:val="left"/>
      </w:pPr>
      <w:r>
        <w:rPr>
          <w:rFonts w:ascii="Times New Roman" w:hAnsi="Times New Roman"/>
          <w:b/>
          <w:i w:val="false"/>
          <w:color w:val="000000"/>
          <w:sz w:val="22"/>
        </w:rPr>
        <w:t>估值框架</w:t>
      </w:r>
      <w:r>
        <w:rPr>
          <w:rFonts w:ascii="Times New Roman" w:hAnsi="Times New Roman"/>
          <w:b w:val="false"/>
          <w:i w:val="false"/>
          <w:color w:val="000000"/>
          <w:sz w:val="22"/>
        </w:rPr>
        <w:t>：采用</w:t>
      </w:r>
      <w:r>
        <w:rPr>
          <w:rFonts w:ascii="Times New Roman" w:hAnsi="Times New Roman"/>
          <w:b/>
          <w:i w:val="false"/>
          <w:color w:val="000000"/>
          <w:sz w:val="22"/>
        </w:rPr>
        <w:t>PB-ROE+清算价值</w:t>
      </w:r>
      <w:r>
        <w:rPr>
          <w:rFonts w:ascii="Times New Roman" w:hAnsi="Times New Roman"/>
          <w:b w:val="false"/>
          <w:i w:val="false"/>
          <w:color w:val="000000"/>
          <w:sz w:val="22"/>
        </w:rPr>
        <w:t>双重视角更为合理。在ROE中枢4%-7%、金融资产+物业构成较强托底的情况下，</w:t>
      </w:r>
      <w:r>
        <w:rPr>
          <w:rFonts w:ascii="Times New Roman" w:hAnsi="Times New Roman"/>
          <w:b/>
          <w:i w:val="false"/>
          <w:color w:val="000000"/>
          <w:sz w:val="22"/>
        </w:rPr>
        <w:t>1.3x-2.0x PB区间可视为价值合理带</w:t>
      </w:r>
      <w:r>
        <w:rPr>
          <w:rFonts w:ascii="Times New Roman" w:hAnsi="Times New Roman"/>
          <w:b w:val="false"/>
          <w:i w:val="false"/>
          <w:color w:val="000000"/>
          <w:sz w:val="22"/>
        </w:rPr>
        <w:t>；高于2.5x时，对政策与行情的乐观预期已显著反映。</w:t>
      </w:r>
    </w:p>
    <w:p>
      <w:pPr>
        <w:numPr>
          <w:ilvl w:val="0"/>
          <w:numId w:val="122"/>
        </w:numPr>
        <w:spacing w:before="0" w:after="0"/>
        <w:jc w:val="left"/>
      </w:pPr>
      <w:r>
        <w:rPr>
          <w:rFonts w:ascii="Times New Roman" w:hAnsi="Times New Roman"/>
          <w:b/>
          <w:i w:val="false"/>
          <w:color w:val="000000"/>
          <w:sz w:val="22"/>
        </w:rPr>
        <w:t>配置逻辑</w:t>
      </w:r>
      <w:r>
        <w:rPr>
          <w:rFonts w:ascii="Times New Roman" w:hAnsi="Times New Roman"/>
          <w:b w:val="false"/>
          <w:i w:val="false"/>
          <w:color w:val="000000"/>
          <w:sz w:val="22"/>
        </w:rPr>
        <w:t>：</w:t>
      </w:r>
    </w:p>
    <w:p>
      <w:pPr>
        <w:numPr>
          <w:ilvl w:val="0"/>
          <w:numId w:val="123"/>
        </w:numPr>
        <w:spacing w:before="0" w:after="0"/>
        <w:jc w:val="left"/>
      </w:pPr>
      <w:r>
        <w:rPr>
          <w:rFonts w:ascii="Times New Roman" w:hAnsi="Times New Roman"/>
          <w:b w:val="false"/>
          <w:i w:val="false"/>
          <w:color w:val="000000"/>
          <w:sz w:val="22"/>
        </w:rPr>
        <w:t>适合配置在机构组合中“稳定资产+低相关性”板块，可通过</w:t>
      </w:r>
      <w:r>
        <w:rPr>
          <w:rFonts w:ascii="Times New Roman" w:hAnsi="Times New Roman"/>
          <w:b/>
          <w:i w:val="false"/>
          <w:color w:val="000000"/>
          <w:sz w:val="22"/>
        </w:rPr>
        <w:t>利用折价修复、股权事件（减持缓和/引战）、宏观宽松期金融资产弹性</w:t>
      </w:r>
      <w:r>
        <w:rPr>
          <w:rFonts w:ascii="Times New Roman" w:hAnsi="Times New Roman"/>
          <w:b w:val="false"/>
          <w:i w:val="false"/>
          <w:color w:val="000000"/>
          <w:sz w:val="22"/>
        </w:rPr>
        <w:t>进行波段操作；</w:t>
      </w:r>
    </w:p>
    <w:p>
      <w:pPr>
        <w:numPr>
          <w:ilvl w:val="0"/>
          <w:numId w:val="123"/>
        </w:numPr>
        <w:spacing w:before="0" w:after="0"/>
        <w:jc w:val="left"/>
      </w:pPr>
      <w:r>
        <w:rPr>
          <w:rFonts w:ascii="Times New Roman" w:hAnsi="Times New Roman"/>
          <w:b w:val="false"/>
          <w:i w:val="false"/>
          <w:color w:val="000000"/>
          <w:sz w:val="22"/>
        </w:rPr>
        <w:t>不宜以高速盈利增长或估值重构为主要逻辑，</w:t>
      </w:r>
      <w:r>
        <w:rPr>
          <w:rFonts w:ascii="Times New Roman" w:hAnsi="Times New Roman"/>
          <w:b/>
          <w:i w:val="false"/>
          <w:color w:val="000000"/>
          <w:sz w:val="22"/>
        </w:rPr>
        <w:t>更多是看重资产折价与现金流安全边际</w:t>
      </w:r>
      <w:r>
        <w:rPr>
          <w:rFonts w:ascii="Times New Roman" w:hAnsi="Times New Roman"/>
          <w:b w:val="false"/>
          <w:i w:val="false"/>
          <w:color w:val="000000"/>
          <w:sz w:val="22"/>
        </w:rPr>
        <w:t>。</w:t>
      </w:r>
    </w:p>
    <w:p>
      <w:pPr>
        <w:numPr>
          <w:ilvl w:val="0"/>
          <w:numId w:val="124"/>
        </w:numPr>
        <w:spacing w:before="0" w:after="0"/>
        <w:jc w:val="left"/>
      </w:pPr>
      <w:r>
        <w:rPr>
          <w:rFonts w:ascii="Times New Roman" w:hAnsi="Times New Roman"/>
          <w:b/>
          <w:i w:val="false"/>
          <w:color w:val="000000"/>
          <w:sz w:val="22"/>
        </w:rPr>
        <w:t>关键跟踪指标</w:t>
      </w:r>
      <w:r>
        <w:rPr>
          <w:rFonts w:ascii="Times New Roman" w:hAnsi="Times New Roman"/>
          <w:b w:val="false"/>
          <w:i w:val="false"/>
          <w:color w:val="000000"/>
          <w:sz w:val="22"/>
        </w:rPr>
        <w:t>：</w:t>
      </w:r>
    </w:p>
    <w:p>
      <w:pPr>
        <w:numPr>
          <w:ilvl w:val="0"/>
          <w:numId w:val="125"/>
        </w:numPr>
        <w:spacing w:before="0" w:after="0"/>
        <w:jc w:val="left"/>
      </w:pPr>
      <w:r>
        <w:rPr>
          <w:rFonts w:ascii="Times New Roman" w:hAnsi="Times New Roman"/>
          <w:b w:val="false"/>
          <w:i w:val="false"/>
          <w:color w:val="000000"/>
          <w:sz w:val="22"/>
        </w:rPr>
        <w:t>金地商置、杭工商信托等权属资产的处置/减值进展；</w:t>
      </w:r>
    </w:p>
    <w:p>
      <w:pPr>
        <w:numPr>
          <w:ilvl w:val="0"/>
          <w:numId w:val="125"/>
        </w:numPr>
        <w:spacing w:before="0" w:after="0"/>
        <w:jc w:val="left"/>
      </w:pPr>
      <w:r>
        <w:rPr>
          <w:rFonts w:ascii="Times New Roman" w:hAnsi="Times New Roman"/>
          <w:b w:val="false"/>
          <w:i w:val="false"/>
          <w:color w:val="000000"/>
          <w:sz w:val="22"/>
        </w:rPr>
        <w:t>恒隆租约落地推进情况及对物业重估的市场反应；</w:t>
      </w:r>
    </w:p>
    <w:p>
      <w:pPr>
        <w:numPr>
          <w:ilvl w:val="0"/>
          <w:numId w:val="125"/>
        </w:numPr>
        <w:spacing w:before="0" w:after="0"/>
        <w:jc w:val="left"/>
      </w:pPr>
      <w:r>
        <w:rPr>
          <w:rFonts w:ascii="Times New Roman" w:hAnsi="Times New Roman"/>
          <w:b w:val="false"/>
          <w:i w:val="false"/>
          <w:color w:val="000000"/>
          <w:sz w:val="22"/>
        </w:rPr>
        <w:t>委托理财规模与收益率变化、权益类投资公允价值波动；</w:t>
      </w:r>
    </w:p>
    <w:p>
      <w:pPr>
        <w:numPr>
          <w:ilvl w:val="0"/>
          <w:numId w:val="125"/>
        </w:numPr>
        <w:spacing w:before="0" w:after="0"/>
        <w:jc w:val="left"/>
      </w:pPr>
      <w:r>
        <w:rPr>
          <w:rFonts w:ascii="Times New Roman" w:hAnsi="Times New Roman"/>
          <w:b w:val="false"/>
          <w:i w:val="false"/>
          <w:color w:val="000000"/>
          <w:sz w:val="22"/>
        </w:rPr>
        <w:t>西子联合及其他重要股东的减持/增持动态；</w:t>
      </w:r>
    </w:p>
    <w:p>
      <w:pPr>
        <w:numPr>
          <w:ilvl w:val="0"/>
          <w:numId w:val="125"/>
        </w:numPr>
        <w:spacing w:before="0" w:after="0"/>
        <w:jc w:val="left"/>
      </w:pPr>
      <w:r>
        <w:rPr>
          <w:rFonts w:ascii="Times New Roman" w:hAnsi="Times New Roman"/>
          <w:b w:val="false"/>
          <w:i w:val="false"/>
          <w:color w:val="000000"/>
          <w:sz w:val="22"/>
        </w:rPr>
        <w:t>百货与租赁行业景气度、社零增速与租金收益率变化等宏观变量。</w:t>
      </w:r>
    </w:p>
    <w:p>
      <w:pPr>
        <w:spacing w:before="269" w:after="269"/>
        <w:ind w:left="120"/>
        <w:jc w:val="left"/>
      </w:pPr>
      <w:r>
        <w:rPr>
          <w:rFonts w:ascii="Times New Roman" w:hAnsi="Times New Roman"/>
          <w:b w:val="false"/>
          <w:i w:val="false"/>
          <w:color w:val="000000"/>
          <w:sz w:val="22"/>
        </w:rPr>
        <w:t>在2025-2026年这种</w:t>
      </w:r>
      <w:r>
        <w:rPr>
          <w:rFonts w:ascii="Times New Roman" w:hAnsi="Times New Roman"/>
          <w:b/>
          <w:i w:val="false"/>
          <w:color w:val="000000"/>
          <w:sz w:val="22"/>
        </w:rPr>
        <w:t>盈利温和、波动偏大、资产底盘较扎实</w:t>
      </w:r>
      <w:r>
        <w:rPr>
          <w:rFonts w:ascii="Times New Roman" w:hAnsi="Times New Roman"/>
          <w:b w:val="false"/>
          <w:i w:val="false"/>
          <w:color w:val="000000"/>
          <w:sz w:val="22"/>
        </w:rPr>
        <w:t>的组合下，百大集团更适合作为</w:t>
      </w:r>
      <w:r>
        <w:rPr>
          <w:rFonts w:ascii="Times New Roman" w:hAnsi="Times New Roman"/>
          <w:b/>
          <w:i w:val="false"/>
          <w:color w:val="000000"/>
          <w:sz w:val="22"/>
        </w:rPr>
        <w:t>中长期稳健资产+阶段性主题催化</w:t>
      </w:r>
      <w:r>
        <w:rPr>
          <w:rFonts w:ascii="Times New Roman" w:hAnsi="Times New Roman"/>
          <w:b w:val="false"/>
          <w:i w:val="false"/>
          <w:color w:val="000000"/>
          <w:sz w:val="22"/>
        </w:rPr>
        <w:t>的配置标的，而非追求高beta的成长型标的。</w:t>
      </w:r>
    </w:p>
    <w:sectPr>
      <w:pgSz w:w="11907" w:h="16839" w:code="9"/>
      <w:pgMar w:top="1440" w:right="1440" w:bottom="1440" w:left="1440"/>
    </w:sectPr>
  </w:body>
</w:document>
</file>

<file path=word/numbering.xml><?xml version="1.0" encoding="utf-8"?>
<w:numbering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1">
    <w:multiLevelType w:val="multilevel"/>
    <w:lvl w:ilvl="0">
      <w:start w:val="1"/>
      <w:numFmt w:val="bullet"/>
      <w:lvlText w:val=""/>
      <w:lvlJc w:val="left"/>
      <w:pPr>
        <w:ind w:left="960" w:hanging="360"/>
      </w:pPr>
      <w:rPr>
        <w:rFonts w:hint="default" w:ascii="Symbol" w:hAnsi="Symbol"/>
      </w:rPr>
    </w:lvl>
  </w:abstractNum>
  <w:abstractNum w:abstractNumId="2">
    <w:multiLevelType w:val="multilevel"/>
    <w:lvl w:ilvl="0">
      <w:start w:val="1"/>
      <w:numFmt w:val="bullet"/>
      <w:lvlText w:val=""/>
      <w:lvlJc w:val="left"/>
      <w:pPr>
        <w:ind w:left="960" w:hanging="360"/>
      </w:pPr>
      <w:rPr>
        <w:rFonts w:hint="default" w:ascii="Symbol" w:hAnsi="Symbol"/>
      </w:rPr>
    </w:lvl>
  </w:abstractNum>
  <w:abstractNum w:abstractNumId="3">
    <w:multiLevelType w:val="multilevel"/>
    <w:lvl w:ilvl="0">
      <w:start w:val="1"/>
      <w:numFmt w:val="bullet"/>
      <w:lvlText w:val=""/>
      <w:lvlJc w:val="left"/>
      <w:pPr>
        <w:ind w:left="960" w:hanging="360"/>
      </w:pPr>
      <w:rPr>
        <w:rFonts w:hint="default" w:ascii="Symbol" w:hAnsi="Symbol"/>
      </w:rPr>
    </w:lvl>
  </w:abstractNum>
  <w:abstractNum w:abstractNumId="4">
    <w:multiLevelType w:val="multilevel"/>
    <w:lvl w:ilvl="0">
      <w:start w:val="1"/>
      <w:numFmt w:val="bullet"/>
      <w:lvlText w:val=""/>
      <w:lvlJc w:val="left"/>
      <w:pPr>
        <w:ind w:left="960" w:hanging="360"/>
      </w:pPr>
      <w:rPr>
        <w:rFonts w:hint="default" w:ascii="Symbol" w:hAnsi="Symbol"/>
      </w:rPr>
    </w:lvl>
  </w:abstractNum>
  <w:abstractNum w:abstractNumId="5">
    <w:multiLevelType w:val="multilevel"/>
    <w:lvl w:ilvl="0">
      <w:start w:val="1"/>
      <w:numFmt w:val="bullet"/>
      <w:lvlText w:val=""/>
      <w:lvlJc w:val="left"/>
      <w:pPr>
        <w:ind w:left="960" w:hanging="360"/>
      </w:pPr>
      <w:rPr>
        <w:rFonts w:hint="default" w:ascii="Symbol" w:hAnsi="Symbol"/>
      </w:rPr>
    </w:lvl>
  </w:abstractNum>
  <w:abstractNum w:abstractNumId="6">
    <w:multiLevelType w:val="multilevel"/>
    <w:lvl w:ilvl="0">
      <w:start w:val="1"/>
      <w:numFmt w:val="bullet"/>
      <w:lvlText w:val=""/>
      <w:lvlJc w:val="left"/>
      <w:pPr>
        <w:ind w:left="960" w:hanging="360"/>
      </w:pPr>
      <w:rPr>
        <w:rFonts w:hint="default" w:ascii="Symbol" w:hAnsi="Symbol"/>
      </w:rPr>
    </w:lvl>
  </w:abstractNum>
  <w:abstractNum w:abstractNumId="7">
    <w:multiLevelType w:val="multilevel"/>
    <w:lvl w:ilvl="0">
      <w:start w:val="1"/>
      <w:numFmt w:val="bullet"/>
      <w:lvlText w:val=""/>
      <w:lvlJc w:val="left"/>
      <w:pPr>
        <w:ind w:left="960" w:hanging="360"/>
      </w:pPr>
      <w:rPr>
        <w:rFonts w:hint="default" w:ascii="Symbol" w:hAnsi="Symbol"/>
      </w:rPr>
    </w:lvl>
  </w:abstractNum>
  <w:abstractNum w:abstractNumId="8">
    <w:multiLevelType w:val="multilevel"/>
    <w:lvl w:ilvl="0">
      <w:start w:val="1"/>
      <w:numFmt w:val="bullet"/>
      <w:lvlText w:val=""/>
      <w:lvlJc w:val="left"/>
      <w:pPr>
        <w:ind w:left="960" w:hanging="360"/>
      </w:pPr>
      <w:rPr>
        <w:rFonts w:hint="default" w:ascii="Symbol" w:hAnsi="Symbol"/>
      </w:rPr>
    </w:lvl>
  </w:abstractNum>
  <w:abstractNum w:abstractNumId="9">
    <w:multiLevelType w:val="multilevel"/>
    <w:lvl w:ilvl="0">
      <w:start w:val="1"/>
      <w:numFmt w:val="bullet"/>
      <w:lvlText w:val=""/>
      <w:lvlJc w:val="left"/>
      <w:pPr>
        <w:ind w:left="960" w:hanging="360"/>
      </w:pPr>
      <w:rPr>
        <w:rFonts w:hint="default" w:ascii="Symbol" w:hAnsi="Symbol"/>
      </w:rPr>
    </w:lvl>
  </w:abstractNum>
  <w:abstractNum w:abstractNumId="10">
    <w:multiLevelType w:val="multilevel"/>
    <w:lvl w:ilvl="0">
      <w:start w:val="1"/>
      <w:numFmt w:val="bullet"/>
      <w:lvlText w:val=""/>
      <w:lvlJc w:val="left"/>
      <w:pPr>
        <w:ind w:left="960" w:hanging="360"/>
      </w:pPr>
      <w:rPr>
        <w:rFonts w:hint="default" w:ascii="Symbol" w:hAnsi="Symbol"/>
      </w:rPr>
    </w:lvl>
  </w:abstractNum>
  <w:abstractNum w:abstractNumId="11">
    <w:multiLevelType w:val="multilevel"/>
    <w:lvl w:ilvl="0">
      <w:start w:val="1"/>
      <w:numFmt w:val="bullet"/>
      <w:lvlText w:val=""/>
      <w:lvlJc w:val="left"/>
      <w:pPr>
        <w:ind w:left="960" w:hanging="360"/>
      </w:pPr>
      <w:rPr>
        <w:rFonts w:hint="default" w:ascii="Symbol" w:hAnsi="Symbol"/>
      </w:rPr>
    </w:lvl>
  </w:abstractNum>
  <w:abstractNum w:abstractNumId="12">
    <w:multiLevelType w:val="multilevel"/>
    <w:lvl w:ilvl="0">
      <w:start w:val="1"/>
      <w:numFmt w:val="bullet"/>
      <w:lvlText w:val=""/>
      <w:lvlJc w:val="left"/>
      <w:pPr>
        <w:ind w:left="960" w:hanging="360"/>
      </w:pPr>
      <w:rPr>
        <w:rFonts w:hint="default" w:ascii="Symbol" w:hAnsi="Symbol"/>
      </w:rPr>
    </w:lvl>
  </w:abstractNum>
  <w:abstractNum w:abstractNumId="13">
    <w:multiLevelType w:val="multilevel"/>
    <w:lvl w:ilvl="0">
      <w:start w:val="1"/>
      <w:numFmt w:val="bullet"/>
      <w:lvlText w:val=""/>
      <w:lvlJc w:val="left"/>
      <w:pPr>
        <w:ind w:left="960" w:hanging="360"/>
      </w:pPr>
      <w:rPr>
        <w:rFonts w:hint="default" w:ascii="Symbol" w:hAnsi="Symbol"/>
      </w:rPr>
    </w:lvl>
  </w:abstractNum>
  <w:abstractNum w:abstractNumId="14">
    <w:multiLevelType w:val="multilevel"/>
    <w:lvl w:ilvl="0">
      <w:start w:val="1"/>
      <w:numFmt w:val="decimal"/>
      <w:lvlText w:val="%1."/>
      <w:lvlJc w:val="left"/>
      <w:pPr>
        <w:ind w:left="960" w:hanging="360"/>
      </w:pPr>
    </w:lvl>
  </w:abstractNum>
  <w:abstractNum w:abstractNumId="15">
    <w:multiLevelType w:val="multilevel"/>
    <w:lvl w:ilvl="0">
      <w:start w:val="1"/>
      <w:numFmt w:val="bullet"/>
      <w:lvlText w:val=""/>
      <w:lvlJc w:val="left"/>
      <w:pPr>
        <w:ind w:left="960" w:hanging="360"/>
      </w:pPr>
      <w:rPr>
        <w:rFonts w:hint="default" w:ascii="Symbol" w:hAnsi="Symbol"/>
      </w:rPr>
    </w:lvl>
  </w:abstractNum>
  <w:abstractNum w:abstractNumId="16">
    <w:multiLevelType w:val="multilevel"/>
    <w:lvl w:ilvl="0">
      <w:start w:val="2"/>
      <w:numFmt w:val="decimal"/>
      <w:lvlText w:val="%1."/>
      <w:lvlJc w:val="left"/>
      <w:pPr>
        <w:ind w:left="960" w:hanging="360"/>
      </w:pPr>
    </w:lvl>
  </w:abstractNum>
  <w:abstractNum w:abstractNumId="17">
    <w:multiLevelType w:val="multilevel"/>
    <w:lvl w:ilvl="0">
      <w:start w:val="1"/>
      <w:numFmt w:val="bullet"/>
      <w:lvlText w:val=""/>
      <w:lvlJc w:val="left"/>
      <w:pPr>
        <w:ind w:left="960" w:hanging="360"/>
      </w:pPr>
      <w:rPr>
        <w:rFonts w:hint="default" w:ascii="Symbol" w:hAnsi="Symbol"/>
      </w:rPr>
    </w:lvl>
  </w:abstractNum>
  <w:abstractNum w:abstractNumId="18">
    <w:multiLevelType w:val="multilevel"/>
    <w:lvl w:ilvl="0">
      <w:start w:val="3"/>
      <w:numFmt w:val="decimal"/>
      <w:lvlText w:val="%1."/>
      <w:lvlJc w:val="left"/>
      <w:pPr>
        <w:ind w:left="960" w:hanging="360"/>
      </w:pPr>
    </w:lvl>
  </w:abstractNum>
  <w:abstractNum w:abstractNumId="19">
    <w:multiLevelType w:val="multilevel"/>
    <w:lvl w:ilvl="0">
      <w:start w:val="1"/>
      <w:numFmt w:val="bullet"/>
      <w:lvlText w:val=""/>
      <w:lvlJc w:val="left"/>
      <w:pPr>
        <w:ind w:left="960" w:hanging="360"/>
      </w:pPr>
      <w:rPr>
        <w:rFonts w:hint="default" w:ascii="Symbol" w:hAnsi="Symbol"/>
      </w:rPr>
    </w:lvl>
  </w:abstractNum>
  <w:abstractNum w:abstractNumId="20">
    <w:multiLevelType w:val="multilevel"/>
    <w:lvl w:ilvl="0">
      <w:start w:val="1"/>
      <w:numFmt w:val="bullet"/>
      <w:lvlText w:val=""/>
      <w:lvlJc w:val="left"/>
      <w:pPr>
        <w:ind w:left="960" w:hanging="360"/>
      </w:pPr>
      <w:rPr>
        <w:rFonts w:hint="default" w:ascii="Symbol" w:hAnsi="Symbol"/>
      </w:rPr>
    </w:lvl>
  </w:abstractNum>
  <w:abstractNum w:abstractNumId="21">
    <w:multiLevelType w:val="multilevel"/>
    <w:lvl w:ilvl="0">
      <w:start w:val="1"/>
      <w:numFmt w:val="bullet"/>
      <w:lvlText w:val=""/>
      <w:lvlJc w:val="left"/>
      <w:pPr>
        <w:ind w:left="960" w:hanging="360"/>
      </w:pPr>
      <w:rPr>
        <w:rFonts w:hint="default" w:ascii="Symbol" w:hAnsi="Symbol"/>
      </w:rPr>
    </w:lvl>
  </w:abstractNum>
  <w:abstractNum w:abstractNumId="22">
    <w:multiLevelType w:val="multilevel"/>
    <w:lvl w:ilvl="0">
      <w:start w:val="1"/>
      <w:numFmt w:val="bullet"/>
      <w:lvlText w:val=""/>
      <w:lvlJc w:val="left"/>
      <w:pPr>
        <w:ind w:left="960" w:hanging="360"/>
      </w:pPr>
      <w:rPr>
        <w:rFonts w:hint="default" w:ascii="Symbol" w:hAnsi="Symbol"/>
      </w:rPr>
    </w:lvl>
  </w:abstractNum>
  <w:abstractNum w:abstractNumId="23">
    <w:multiLevelType w:val="multilevel"/>
    <w:lvl w:ilvl="0">
      <w:start w:val="1"/>
      <w:numFmt w:val="bullet"/>
      <w:lvlText w:val=""/>
      <w:lvlJc w:val="left"/>
      <w:pPr>
        <w:ind w:left="960" w:hanging="360"/>
      </w:pPr>
      <w:rPr>
        <w:rFonts w:hint="default" w:ascii="Symbol" w:hAnsi="Symbol"/>
      </w:rPr>
    </w:lvl>
  </w:abstractNum>
  <w:abstractNum w:abstractNumId="24">
    <w:multiLevelType w:val="multilevel"/>
    <w:lvl w:ilvl="0">
      <w:start w:val="1"/>
      <w:numFmt w:val="decimal"/>
      <w:lvlText w:val="%1."/>
      <w:lvlJc w:val="left"/>
      <w:pPr>
        <w:ind w:left="960" w:hanging="360"/>
      </w:pPr>
    </w:lvl>
  </w:abstractNum>
  <w:abstractNum w:abstractNumId="25">
    <w:multiLevelType w:val="multilevel"/>
    <w:lvl w:ilvl="0">
      <w:start w:val="1"/>
      <w:numFmt w:val="bullet"/>
      <w:lvlText w:val=""/>
      <w:lvlJc w:val="left"/>
      <w:pPr>
        <w:ind w:left="960" w:hanging="360"/>
      </w:pPr>
      <w:rPr>
        <w:rFonts w:hint="default" w:ascii="Symbol" w:hAnsi="Symbol"/>
      </w:rPr>
    </w:lvl>
  </w:abstractNum>
  <w:abstractNum w:abstractNumId="26">
    <w:multiLevelType w:val="multilevel"/>
    <w:lvl w:ilvl="0">
      <w:start w:val="2"/>
      <w:numFmt w:val="decimal"/>
      <w:lvlText w:val="%1."/>
      <w:lvlJc w:val="left"/>
      <w:pPr>
        <w:ind w:left="960" w:hanging="360"/>
      </w:pPr>
    </w:lvl>
  </w:abstractNum>
  <w:abstractNum w:abstractNumId="27">
    <w:multiLevelType w:val="multilevel"/>
    <w:lvl w:ilvl="0">
      <w:start w:val="1"/>
      <w:numFmt w:val="bullet"/>
      <w:lvlText w:val=""/>
      <w:lvlJc w:val="left"/>
      <w:pPr>
        <w:ind w:left="960" w:hanging="360"/>
      </w:pPr>
      <w:rPr>
        <w:rFonts w:hint="default" w:ascii="Symbol" w:hAnsi="Symbol"/>
      </w:rPr>
    </w:lvl>
  </w:abstractNum>
  <w:abstractNum w:abstractNumId="28">
    <w:multiLevelType w:val="multilevel"/>
    <w:lvl w:ilvl="0">
      <w:start w:val="3"/>
      <w:numFmt w:val="decimal"/>
      <w:lvlText w:val="%1."/>
      <w:lvlJc w:val="left"/>
      <w:pPr>
        <w:ind w:left="960" w:hanging="360"/>
      </w:pPr>
    </w:lvl>
  </w:abstractNum>
  <w:abstractNum w:abstractNumId="29">
    <w:multiLevelType w:val="multilevel"/>
    <w:lvl w:ilvl="0">
      <w:start w:val="1"/>
      <w:numFmt w:val="bullet"/>
      <w:lvlText w:val=""/>
      <w:lvlJc w:val="left"/>
      <w:pPr>
        <w:ind w:left="960" w:hanging="360"/>
      </w:pPr>
      <w:rPr>
        <w:rFonts w:hint="default" w:ascii="Symbol" w:hAnsi="Symbol"/>
      </w:rPr>
    </w:lvl>
  </w:abstractNum>
  <w:abstractNum w:abstractNumId="30">
    <w:multiLevelType w:val="multilevel"/>
    <w:lvl w:ilvl="0">
      <w:start w:val="1"/>
      <w:numFmt w:val="bullet"/>
      <w:lvlText w:val=""/>
      <w:lvlJc w:val="left"/>
      <w:pPr>
        <w:ind w:left="960" w:hanging="360"/>
      </w:pPr>
      <w:rPr>
        <w:rFonts w:hint="default" w:ascii="Symbol" w:hAnsi="Symbol"/>
      </w:rPr>
    </w:lvl>
  </w:abstractNum>
  <w:abstractNum w:abstractNumId="31">
    <w:multiLevelType w:val="multilevel"/>
    <w:lvl w:ilvl="0">
      <w:start w:val="1"/>
      <w:numFmt w:val="bullet"/>
      <w:lvlText w:val=""/>
      <w:lvlJc w:val="left"/>
      <w:pPr>
        <w:ind w:left="960" w:hanging="360"/>
      </w:pPr>
      <w:rPr>
        <w:rFonts w:hint="default" w:ascii="Symbol" w:hAnsi="Symbol"/>
      </w:rPr>
    </w:lvl>
  </w:abstractNum>
  <w:abstractNum w:abstractNumId="32">
    <w:multiLevelType w:val="multilevel"/>
    <w:lvl w:ilvl="0">
      <w:start w:val="1"/>
      <w:numFmt w:val="bullet"/>
      <w:lvlText w:val=""/>
      <w:lvlJc w:val="left"/>
      <w:pPr>
        <w:ind w:left="960" w:hanging="360"/>
      </w:pPr>
      <w:rPr>
        <w:rFonts w:hint="default" w:ascii="Symbol" w:hAnsi="Symbol"/>
      </w:rPr>
    </w:lvl>
  </w:abstractNum>
  <w:abstractNum w:abstractNumId="33">
    <w:multiLevelType w:val="multilevel"/>
    <w:lvl w:ilvl="0">
      <w:start w:val="1"/>
      <w:numFmt w:val="bullet"/>
      <w:lvlText w:val=""/>
      <w:lvlJc w:val="left"/>
      <w:pPr>
        <w:ind w:left="960" w:hanging="360"/>
      </w:pPr>
      <w:rPr>
        <w:rFonts w:hint="default" w:ascii="Symbol" w:hAnsi="Symbol"/>
      </w:rPr>
    </w:lvl>
  </w:abstractNum>
  <w:abstractNum w:abstractNumId="34">
    <w:multiLevelType w:val="multilevel"/>
    <w:lvl w:ilvl="0">
      <w:start w:val="1"/>
      <w:numFmt w:val="bullet"/>
      <w:lvlText w:val=""/>
      <w:lvlJc w:val="left"/>
      <w:pPr>
        <w:ind w:left="960" w:hanging="360"/>
      </w:pPr>
      <w:rPr>
        <w:rFonts w:hint="default" w:ascii="Symbol" w:hAnsi="Symbol"/>
      </w:rPr>
    </w:lvl>
  </w:abstractNum>
  <w:abstractNum w:abstractNumId="35">
    <w:multiLevelType w:val="multilevel"/>
    <w:lvl w:ilvl="0">
      <w:start w:val="1"/>
      <w:numFmt w:val="bullet"/>
      <w:lvlText w:val=""/>
      <w:lvlJc w:val="left"/>
      <w:pPr>
        <w:ind w:left="960" w:hanging="360"/>
      </w:pPr>
      <w:rPr>
        <w:rFonts w:hint="default" w:ascii="Symbol" w:hAnsi="Symbol"/>
      </w:rPr>
    </w:lvl>
  </w:abstractNum>
  <w:abstractNum w:abstractNumId="36">
    <w:multiLevelType w:val="multilevel"/>
    <w:lvl w:ilvl="0">
      <w:start w:val="1"/>
      <w:numFmt w:val="bullet"/>
      <w:lvlText w:val=""/>
      <w:lvlJc w:val="left"/>
      <w:pPr>
        <w:ind w:left="960" w:hanging="360"/>
      </w:pPr>
      <w:rPr>
        <w:rFonts w:hint="default" w:ascii="Symbol" w:hAnsi="Symbol"/>
      </w:rPr>
    </w:lvl>
  </w:abstractNum>
  <w:abstractNum w:abstractNumId="37">
    <w:multiLevelType w:val="multilevel"/>
    <w:lvl w:ilvl="0">
      <w:start w:val="1"/>
      <w:numFmt w:val="bullet"/>
      <w:lvlText w:val=""/>
      <w:lvlJc w:val="left"/>
      <w:pPr>
        <w:ind w:left="960" w:hanging="360"/>
      </w:pPr>
      <w:rPr>
        <w:rFonts w:hint="default" w:ascii="Symbol" w:hAnsi="Symbol"/>
      </w:rPr>
    </w:lvl>
  </w:abstractNum>
  <w:abstractNum w:abstractNumId="38">
    <w:multiLevelType w:val="multilevel"/>
    <w:lvl w:ilvl="0">
      <w:start w:val="1"/>
      <w:numFmt w:val="bullet"/>
      <w:lvlText w:val=""/>
      <w:lvlJc w:val="left"/>
      <w:pPr>
        <w:ind w:left="960" w:hanging="360"/>
      </w:pPr>
      <w:rPr>
        <w:rFonts w:hint="default" w:ascii="Symbol" w:hAnsi="Symbol"/>
      </w:rPr>
    </w:lvl>
  </w:abstractNum>
  <w:abstractNum w:abstractNumId="39">
    <w:multiLevelType w:val="multilevel"/>
    <w:lvl w:ilvl="0">
      <w:start w:val="1"/>
      <w:numFmt w:val="decimal"/>
      <w:lvlText w:val="%1."/>
      <w:lvlJc w:val="left"/>
      <w:pPr>
        <w:ind w:left="960" w:hanging="360"/>
      </w:pPr>
    </w:lvl>
  </w:abstractNum>
  <w:abstractNum w:abstractNumId="40">
    <w:multiLevelType w:val="multilevel"/>
    <w:lvl w:ilvl="0">
      <w:start w:val="1"/>
      <w:numFmt w:val="bullet"/>
      <w:lvlText w:val=""/>
      <w:lvlJc w:val="left"/>
      <w:pPr>
        <w:ind w:left="960" w:hanging="360"/>
      </w:pPr>
      <w:rPr>
        <w:rFonts w:hint="default" w:ascii="Symbol" w:hAnsi="Symbol"/>
      </w:rPr>
    </w:lvl>
  </w:abstractNum>
  <w:abstractNum w:abstractNumId="41">
    <w:multiLevelType w:val="multilevel"/>
    <w:lvl w:ilvl="0">
      <w:start w:val="2"/>
      <w:numFmt w:val="decimal"/>
      <w:lvlText w:val="%1."/>
      <w:lvlJc w:val="left"/>
      <w:pPr>
        <w:ind w:left="960" w:hanging="360"/>
      </w:pPr>
    </w:lvl>
  </w:abstractNum>
  <w:abstractNum w:abstractNumId="42">
    <w:multiLevelType w:val="multilevel"/>
    <w:lvl w:ilvl="0">
      <w:start w:val="1"/>
      <w:numFmt w:val="bullet"/>
      <w:lvlText w:val=""/>
      <w:lvlJc w:val="left"/>
      <w:pPr>
        <w:ind w:left="960" w:hanging="360"/>
      </w:pPr>
      <w:rPr>
        <w:rFonts w:hint="default" w:ascii="Symbol" w:hAnsi="Symbol"/>
      </w:rPr>
    </w:lvl>
  </w:abstractNum>
  <w:abstractNum w:abstractNumId="43">
    <w:multiLevelType w:val="multilevel"/>
    <w:lvl w:ilvl="0">
      <w:start w:val="1"/>
      <w:numFmt w:val="bullet"/>
      <w:lvlText w:val=""/>
      <w:lvlJc w:val="left"/>
      <w:pPr>
        <w:ind w:left="960" w:hanging="360"/>
      </w:pPr>
      <w:rPr>
        <w:rFonts w:hint="default" w:ascii="Symbol" w:hAnsi="Symbol"/>
      </w:rPr>
    </w:lvl>
  </w:abstractNum>
  <w:abstractNum w:abstractNumId="44">
    <w:multiLevelType w:val="multilevel"/>
    <w:lvl w:ilvl="0">
      <w:start w:val="1"/>
      <w:numFmt w:val="bullet"/>
      <w:lvlText w:val=""/>
      <w:lvlJc w:val="left"/>
      <w:pPr>
        <w:ind w:left="960" w:hanging="360"/>
      </w:pPr>
      <w:rPr>
        <w:rFonts w:hint="default" w:ascii="Symbol" w:hAnsi="Symbol"/>
      </w:rPr>
    </w:lvl>
  </w:abstractNum>
  <w:abstractNum w:abstractNumId="45">
    <w:multiLevelType w:val="multilevel"/>
    <w:lvl w:ilvl="0">
      <w:start w:val="1"/>
      <w:numFmt w:val="bullet"/>
      <w:lvlText w:val=""/>
      <w:lvlJc w:val="left"/>
      <w:pPr>
        <w:ind w:left="960" w:hanging="360"/>
      </w:pPr>
      <w:rPr>
        <w:rFonts w:hint="default" w:ascii="Symbol" w:hAnsi="Symbol"/>
      </w:rPr>
    </w:lvl>
  </w:abstractNum>
  <w:abstractNum w:abstractNumId="46">
    <w:multiLevelType w:val="multilevel"/>
    <w:lvl w:ilvl="0">
      <w:start w:val="1"/>
      <w:numFmt w:val="bullet"/>
      <w:lvlText w:val=""/>
      <w:lvlJc w:val="left"/>
      <w:pPr>
        <w:ind w:left="960" w:hanging="360"/>
      </w:pPr>
      <w:rPr>
        <w:rFonts w:hint="default" w:ascii="Symbol" w:hAnsi="Symbol"/>
      </w:rPr>
    </w:lvl>
  </w:abstractNum>
  <w:abstractNum w:abstractNumId="47">
    <w:multiLevelType w:val="multilevel"/>
    <w:lvl w:ilvl="0">
      <w:start w:val="1"/>
      <w:numFmt w:val="decimal"/>
      <w:lvlText w:val="%1."/>
      <w:lvlJc w:val="left"/>
      <w:pPr>
        <w:ind w:left="960" w:hanging="360"/>
      </w:pPr>
    </w:lvl>
  </w:abstractNum>
  <w:abstractNum w:abstractNumId="48">
    <w:multiLevelType w:val="multilevel"/>
    <w:lvl w:ilvl="0">
      <w:start w:val="1"/>
      <w:numFmt w:val="bullet"/>
      <w:lvlText w:val=""/>
      <w:lvlJc w:val="left"/>
      <w:pPr>
        <w:ind w:left="960" w:hanging="360"/>
      </w:pPr>
      <w:rPr>
        <w:rFonts w:hint="default" w:ascii="Symbol" w:hAnsi="Symbol"/>
      </w:rPr>
    </w:lvl>
  </w:abstractNum>
  <w:abstractNum w:abstractNumId="49">
    <w:multiLevelType w:val="multilevel"/>
    <w:lvl w:ilvl="0">
      <w:start w:val="1"/>
      <w:numFmt w:val="bullet"/>
      <w:lvlText w:val=""/>
      <w:lvlJc w:val="left"/>
      <w:pPr>
        <w:ind w:left="960" w:hanging="360"/>
      </w:pPr>
      <w:rPr>
        <w:rFonts w:hint="default" w:ascii="Symbol" w:hAnsi="Symbol"/>
      </w:rPr>
    </w:lvl>
  </w:abstractNum>
  <w:abstractNum w:abstractNumId="50">
    <w:multiLevelType w:val="multilevel"/>
    <w:lvl w:ilvl="0">
      <w:start w:val="1"/>
      <w:numFmt w:val="bullet"/>
      <w:lvlText w:val=""/>
      <w:lvlJc w:val="left"/>
      <w:pPr>
        <w:ind w:left="960" w:hanging="360"/>
      </w:pPr>
      <w:rPr>
        <w:rFonts w:hint="default" w:ascii="Symbol" w:hAnsi="Symbol"/>
      </w:rPr>
    </w:lvl>
  </w:abstractNum>
  <w:abstractNum w:abstractNumId="51">
    <w:multiLevelType w:val="multilevel"/>
    <w:lvl w:ilvl="0">
      <w:start w:val="1"/>
      <w:numFmt w:val="decimal"/>
      <w:lvlText w:val="%1."/>
      <w:lvlJc w:val="left"/>
      <w:pPr>
        <w:ind w:left="960" w:hanging="360"/>
      </w:pPr>
    </w:lvl>
  </w:abstractNum>
  <w:abstractNum w:abstractNumId="52">
    <w:multiLevelType w:val="multilevel"/>
    <w:lvl w:ilvl="0">
      <w:start w:val="1"/>
      <w:numFmt w:val="bullet"/>
      <w:lvlText w:val=""/>
      <w:lvlJc w:val="left"/>
      <w:pPr>
        <w:ind w:left="960" w:hanging="360"/>
      </w:pPr>
      <w:rPr>
        <w:rFonts w:hint="default" w:ascii="Symbol" w:hAnsi="Symbol"/>
      </w:rPr>
    </w:lvl>
  </w:abstractNum>
  <w:abstractNum w:abstractNumId="53">
    <w:multiLevelType w:val="multilevel"/>
    <w:lvl w:ilvl="0">
      <w:start w:val="1"/>
      <w:numFmt w:val="bullet"/>
      <w:lvlText w:val=""/>
      <w:lvlJc w:val="left"/>
      <w:pPr>
        <w:ind w:left="960" w:hanging="360"/>
      </w:pPr>
      <w:rPr>
        <w:rFonts w:hint="default" w:ascii="Symbol" w:hAnsi="Symbol"/>
      </w:rPr>
    </w:lvl>
  </w:abstractNum>
  <w:abstractNum w:abstractNumId="54">
    <w:multiLevelType w:val="multilevel"/>
    <w:lvl w:ilvl="0">
      <w:start w:val="1"/>
      <w:numFmt w:val="decimal"/>
      <w:lvlText w:val="%1."/>
      <w:lvlJc w:val="left"/>
      <w:pPr>
        <w:ind w:left="960" w:hanging="360"/>
      </w:pPr>
    </w:lvl>
  </w:abstractNum>
  <w:abstractNum w:abstractNumId="55">
    <w:multiLevelType w:val="multilevel"/>
    <w:lvl w:ilvl="0">
      <w:start w:val="1"/>
      <w:numFmt w:val="decimal"/>
      <w:lvlText w:val="%1."/>
      <w:lvlJc w:val="left"/>
      <w:pPr>
        <w:ind w:left="960" w:hanging="360"/>
      </w:pPr>
    </w:lvl>
  </w:abstractNum>
  <w:abstractNum w:abstractNumId="56">
    <w:multiLevelType w:val="multilevel"/>
    <w:lvl w:ilvl="0">
      <w:start w:val="1"/>
      <w:numFmt w:val="bullet"/>
      <w:lvlText w:val=""/>
      <w:lvlJc w:val="left"/>
      <w:pPr>
        <w:ind w:left="960" w:hanging="360"/>
      </w:pPr>
      <w:rPr>
        <w:rFonts w:hint="default" w:ascii="Symbol" w:hAnsi="Symbol"/>
      </w:rPr>
    </w:lvl>
  </w:abstractNum>
  <w:abstractNum w:abstractNumId="57">
    <w:multiLevelType w:val="multilevel"/>
    <w:lvl w:ilvl="0">
      <w:start w:val="2"/>
      <w:numFmt w:val="decimal"/>
      <w:lvlText w:val="%1."/>
      <w:lvlJc w:val="left"/>
      <w:pPr>
        <w:ind w:left="960" w:hanging="360"/>
      </w:pPr>
    </w:lvl>
  </w:abstractNum>
  <w:abstractNum w:abstractNumId="58">
    <w:multiLevelType w:val="multilevel"/>
    <w:lvl w:ilvl="0">
      <w:start w:val="1"/>
      <w:numFmt w:val="bullet"/>
      <w:lvlText w:val=""/>
      <w:lvlJc w:val="left"/>
      <w:pPr>
        <w:ind w:left="960" w:hanging="360"/>
      </w:pPr>
      <w:rPr>
        <w:rFonts w:hint="default" w:ascii="Symbol" w:hAnsi="Symbol"/>
      </w:rPr>
    </w:lvl>
  </w:abstractNum>
  <w:abstractNum w:abstractNumId="59">
    <w:multiLevelType w:val="multilevel"/>
    <w:lvl w:ilvl="0">
      <w:start w:val="3"/>
      <w:numFmt w:val="decimal"/>
      <w:lvlText w:val="%1."/>
      <w:lvlJc w:val="left"/>
      <w:pPr>
        <w:ind w:left="960" w:hanging="360"/>
      </w:pPr>
    </w:lvl>
  </w:abstractNum>
  <w:abstractNum w:abstractNumId="60">
    <w:multiLevelType w:val="multilevel"/>
    <w:lvl w:ilvl="0">
      <w:start w:val="1"/>
      <w:numFmt w:val="bullet"/>
      <w:lvlText w:val=""/>
      <w:lvlJc w:val="left"/>
      <w:pPr>
        <w:ind w:left="960" w:hanging="360"/>
      </w:pPr>
      <w:rPr>
        <w:rFonts w:hint="default" w:ascii="Symbol" w:hAnsi="Symbol"/>
      </w:rPr>
    </w:lvl>
  </w:abstractNum>
  <w:abstractNum w:abstractNumId="61">
    <w:multiLevelType w:val="multilevel"/>
    <w:lvl w:ilvl="0">
      <w:start w:val="1"/>
      <w:numFmt w:val="bullet"/>
      <w:lvlText w:val=""/>
      <w:lvlJc w:val="left"/>
      <w:pPr>
        <w:ind w:left="960" w:hanging="360"/>
      </w:pPr>
      <w:rPr>
        <w:rFonts w:hint="default" w:ascii="Symbol" w:hAnsi="Symbol"/>
      </w:rPr>
    </w:lvl>
  </w:abstractNum>
  <w:abstractNum w:abstractNumId="62">
    <w:multiLevelType w:val="multilevel"/>
    <w:lvl w:ilvl="0">
      <w:start w:val="1"/>
      <w:numFmt w:val="bullet"/>
      <w:lvlText w:val=""/>
      <w:lvlJc w:val="left"/>
      <w:pPr>
        <w:ind w:left="960" w:hanging="360"/>
      </w:pPr>
      <w:rPr>
        <w:rFonts w:hint="default" w:ascii="Symbol" w:hAnsi="Symbol"/>
      </w:rPr>
    </w:lvl>
  </w:abstractNum>
  <w:abstractNum w:abstractNumId="63">
    <w:multiLevelType w:val="multilevel"/>
    <w:lvl w:ilvl="0">
      <w:start w:val="1"/>
      <w:numFmt w:val="decimal"/>
      <w:lvlText w:val="%1."/>
      <w:lvlJc w:val="left"/>
      <w:pPr>
        <w:ind w:left="960" w:hanging="360"/>
      </w:pPr>
    </w:lvl>
  </w:abstractNum>
  <w:abstractNum w:abstractNumId="64">
    <w:multiLevelType w:val="multilevel"/>
    <w:lvl w:ilvl="0">
      <w:start w:val="1"/>
      <w:numFmt w:val="bullet"/>
      <w:lvlText w:val=""/>
      <w:lvlJc w:val="left"/>
      <w:pPr>
        <w:ind w:left="960" w:hanging="360"/>
      </w:pPr>
      <w:rPr>
        <w:rFonts w:hint="default" w:ascii="Symbol" w:hAnsi="Symbol"/>
      </w:rPr>
    </w:lvl>
  </w:abstractNum>
  <w:abstractNum w:abstractNumId="65">
    <w:multiLevelType w:val="multilevel"/>
    <w:lvl w:ilvl="0">
      <w:start w:val="2"/>
      <w:numFmt w:val="decimal"/>
      <w:lvlText w:val="%1."/>
      <w:lvlJc w:val="left"/>
      <w:pPr>
        <w:ind w:left="960" w:hanging="360"/>
      </w:pPr>
    </w:lvl>
  </w:abstractNum>
  <w:abstractNum w:abstractNumId="66">
    <w:multiLevelType w:val="multilevel"/>
    <w:lvl w:ilvl="0">
      <w:start w:val="1"/>
      <w:numFmt w:val="bullet"/>
      <w:lvlText w:val=""/>
      <w:lvlJc w:val="left"/>
      <w:pPr>
        <w:ind w:left="960" w:hanging="360"/>
      </w:pPr>
      <w:rPr>
        <w:rFonts w:hint="default" w:ascii="Symbol" w:hAnsi="Symbol"/>
      </w:rPr>
    </w:lvl>
  </w:abstractNum>
  <w:abstractNum w:abstractNumId="67">
    <w:multiLevelType w:val="multilevel"/>
    <w:lvl w:ilvl="0">
      <w:start w:val="3"/>
      <w:numFmt w:val="decimal"/>
      <w:lvlText w:val="%1."/>
      <w:lvlJc w:val="left"/>
      <w:pPr>
        <w:ind w:left="960" w:hanging="360"/>
      </w:pPr>
    </w:lvl>
  </w:abstractNum>
  <w:abstractNum w:abstractNumId="68">
    <w:multiLevelType w:val="multilevel"/>
    <w:lvl w:ilvl="0">
      <w:start w:val="1"/>
      <w:numFmt w:val="bullet"/>
      <w:lvlText w:val=""/>
      <w:lvlJc w:val="left"/>
      <w:pPr>
        <w:ind w:left="960" w:hanging="360"/>
      </w:pPr>
      <w:rPr>
        <w:rFonts w:hint="default" w:ascii="Symbol" w:hAnsi="Symbol"/>
      </w:rPr>
    </w:lvl>
  </w:abstractNum>
  <w:abstractNum w:abstractNumId="69">
    <w:multiLevelType w:val="multilevel"/>
    <w:lvl w:ilvl="0">
      <w:start w:val="1"/>
      <w:numFmt w:val="bullet"/>
      <w:lvlText w:val=""/>
      <w:lvlJc w:val="left"/>
      <w:pPr>
        <w:ind w:left="960" w:hanging="360"/>
      </w:pPr>
      <w:rPr>
        <w:rFonts w:hint="default" w:ascii="Symbol" w:hAnsi="Symbol"/>
      </w:rPr>
    </w:lvl>
  </w:abstractNum>
  <w:abstractNum w:abstractNumId="70">
    <w:multiLevelType w:val="multilevel"/>
    <w:lvl w:ilvl="0">
      <w:start w:val="1"/>
      <w:numFmt w:val="bullet"/>
      <w:lvlText w:val=""/>
      <w:lvlJc w:val="left"/>
      <w:pPr>
        <w:ind w:left="960" w:hanging="360"/>
      </w:pPr>
      <w:rPr>
        <w:rFonts w:hint="default" w:ascii="Symbol" w:hAnsi="Symbol"/>
      </w:rPr>
    </w:lvl>
  </w:abstractNum>
  <w:abstractNum w:abstractNumId="71">
    <w:multiLevelType w:val="multilevel"/>
    <w:lvl w:ilvl="0">
      <w:start w:val="1"/>
      <w:numFmt w:val="bullet"/>
      <w:lvlText w:val=""/>
      <w:lvlJc w:val="left"/>
      <w:pPr>
        <w:ind w:left="960" w:hanging="360"/>
      </w:pPr>
      <w:rPr>
        <w:rFonts w:hint="default" w:ascii="Symbol" w:hAnsi="Symbol"/>
      </w:rPr>
    </w:lvl>
  </w:abstractNum>
  <w:abstractNum w:abstractNumId="72">
    <w:multiLevelType w:val="multilevel"/>
    <w:lvl w:ilvl="0">
      <w:start w:val="1"/>
      <w:numFmt w:val="bullet"/>
      <w:lvlText w:val=""/>
      <w:lvlJc w:val="left"/>
      <w:pPr>
        <w:ind w:left="960" w:hanging="360"/>
      </w:pPr>
      <w:rPr>
        <w:rFonts w:hint="default" w:ascii="Symbol" w:hAnsi="Symbol"/>
      </w:rPr>
    </w:lvl>
  </w:abstractNum>
  <w:abstractNum w:abstractNumId="73">
    <w:multiLevelType w:val="multilevel"/>
    <w:lvl w:ilvl="0">
      <w:start w:val="1"/>
      <w:numFmt w:val="bullet"/>
      <w:lvlText w:val=""/>
      <w:lvlJc w:val="left"/>
      <w:pPr>
        <w:ind w:left="960" w:hanging="360"/>
      </w:pPr>
      <w:rPr>
        <w:rFonts w:hint="default" w:ascii="Symbol" w:hAnsi="Symbol"/>
      </w:rPr>
    </w:lvl>
  </w:abstractNum>
  <w:abstractNum w:abstractNumId="74">
    <w:multiLevelType w:val="multilevel"/>
    <w:lvl w:ilvl="0">
      <w:start w:val="1"/>
      <w:numFmt w:val="bullet"/>
      <w:lvlText w:val=""/>
      <w:lvlJc w:val="left"/>
      <w:pPr>
        <w:ind w:left="960" w:hanging="360"/>
      </w:pPr>
      <w:rPr>
        <w:rFonts w:hint="default" w:ascii="Symbol" w:hAnsi="Symbol"/>
      </w:rPr>
    </w:lvl>
  </w:abstractNum>
  <w:abstractNum w:abstractNumId="75">
    <w:multiLevelType w:val="multilevel"/>
    <w:lvl w:ilvl="0">
      <w:start w:val="1"/>
      <w:numFmt w:val="decimal"/>
      <w:lvlText w:val="%1."/>
      <w:lvlJc w:val="left"/>
      <w:pPr>
        <w:ind w:left="960" w:hanging="360"/>
      </w:pPr>
    </w:lvl>
  </w:abstractNum>
  <w:abstractNum w:abstractNumId="76">
    <w:multiLevelType w:val="multilevel"/>
    <w:lvl w:ilvl="0">
      <w:start w:val="1"/>
      <w:numFmt w:val="bullet"/>
      <w:lvlText w:val=""/>
      <w:lvlJc w:val="left"/>
      <w:pPr>
        <w:ind w:left="960" w:hanging="360"/>
      </w:pPr>
      <w:rPr>
        <w:rFonts w:hint="default" w:ascii="Symbol" w:hAnsi="Symbol"/>
      </w:rPr>
    </w:lvl>
  </w:abstractNum>
  <w:abstractNum w:abstractNumId="77">
    <w:multiLevelType w:val="multilevel"/>
    <w:lvl w:ilvl="0">
      <w:start w:val="2"/>
      <w:numFmt w:val="decimal"/>
      <w:lvlText w:val="%1."/>
      <w:lvlJc w:val="left"/>
      <w:pPr>
        <w:ind w:left="960" w:hanging="360"/>
      </w:pPr>
    </w:lvl>
  </w:abstractNum>
  <w:abstractNum w:abstractNumId="78">
    <w:multiLevelType w:val="multilevel"/>
    <w:lvl w:ilvl="0">
      <w:start w:val="1"/>
      <w:numFmt w:val="bullet"/>
      <w:lvlText w:val=""/>
      <w:lvlJc w:val="left"/>
      <w:pPr>
        <w:ind w:left="960" w:hanging="360"/>
      </w:pPr>
      <w:rPr>
        <w:rFonts w:hint="default" w:ascii="Symbol" w:hAnsi="Symbol"/>
      </w:rPr>
    </w:lvl>
  </w:abstractNum>
  <w:abstractNum w:abstractNumId="79">
    <w:multiLevelType w:val="multilevel"/>
    <w:lvl w:ilvl="0">
      <w:start w:val="1"/>
      <w:numFmt w:val="decimal"/>
      <w:lvlText w:val="%1."/>
      <w:lvlJc w:val="left"/>
      <w:pPr>
        <w:ind w:left="960" w:hanging="360"/>
      </w:pPr>
    </w:lvl>
  </w:abstractNum>
  <w:abstractNum w:abstractNumId="80">
    <w:multiLevelType w:val="multilevel"/>
    <w:lvl w:ilvl="0">
      <w:start w:val="1"/>
      <w:numFmt w:val="bullet"/>
      <w:lvlText w:val=""/>
      <w:lvlJc w:val="left"/>
      <w:pPr>
        <w:ind w:left="960" w:hanging="360"/>
      </w:pPr>
      <w:rPr>
        <w:rFonts w:hint="default" w:ascii="Symbol" w:hAnsi="Symbol"/>
      </w:rPr>
    </w:lvl>
  </w:abstractNum>
  <w:abstractNum w:abstractNumId="81">
    <w:multiLevelType w:val="multilevel"/>
    <w:lvl w:ilvl="0">
      <w:start w:val="2"/>
      <w:numFmt w:val="decimal"/>
      <w:lvlText w:val="%1."/>
      <w:lvlJc w:val="left"/>
      <w:pPr>
        <w:ind w:left="960" w:hanging="360"/>
      </w:pPr>
    </w:lvl>
  </w:abstractNum>
  <w:abstractNum w:abstractNumId="82">
    <w:multiLevelType w:val="multilevel"/>
    <w:lvl w:ilvl="0">
      <w:start w:val="1"/>
      <w:numFmt w:val="bullet"/>
      <w:lvlText w:val=""/>
      <w:lvlJc w:val="left"/>
      <w:pPr>
        <w:ind w:left="960" w:hanging="360"/>
      </w:pPr>
      <w:rPr>
        <w:rFonts w:hint="default" w:ascii="Symbol" w:hAnsi="Symbol"/>
      </w:rPr>
    </w:lvl>
  </w:abstractNum>
  <w:abstractNum w:abstractNumId="83">
    <w:multiLevelType w:val="multilevel"/>
    <w:lvl w:ilvl="0">
      <w:start w:val="3"/>
      <w:numFmt w:val="decimal"/>
      <w:lvlText w:val="%1."/>
      <w:lvlJc w:val="left"/>
      <w:pPr>
        <w:ind w:left="960" w:hanging="360"/>
      </w:pPr>
    </w:lvl>
  </w:abstractNum>
  <w:abstractNum w:abstractNumId="84">
    <w:multiLevelType w:val="multilevel"/>
    <w:lvl w:ilvl="0">
      <w:start w:val="1"/>
      <w:numFmt w:val="bullet"/>
      <w:lvlText w:val=""/>
      <w:lvlJc w:val="left"/>
      <w:pPr>
        <w:ind w:left="960" w:hanging="360"/>
      </w:pPr>
      <w:rPr>
        <w:rFonts w:hint="default" w:ascii="Symbol" w:hAnsi="Symbol"/>
      </w:rPr>
    </w:lvl>
  </w:abstractNum>
  <w:abstractNum w:abstractNumId="85">
    <w:multiLevelType w:val="multilevel"/>
    <w:lvl w:ilvl="0">
      <w:start w:val="1"/>
      <w:numFmt w:val="decimal"/>
      <w:lvlText w:val="%1."/>
      <w:lvlJc w:val="left"/>
      <w:pPr>
        <w:ind w:left="960" w:hanging="360"/>
      </w:pPr>
    </w:lvl>
  </w:abstractNum>
  <w:abstractNum w:abstractNumId="86">
    <w:multiLevelType w:val="multilevel"/>
    <w:lvl w:ilvl="0">
      <w:start w:val="1"/>
      <w:numFmt w:val="bullet"/>
      <w:lvlText w:val=""/>
      <w:lvlJc w:val="left"/>
      <w:pPr>
        <w:ind w:left="960" w:hanging="360"/>
      </w:pPr>
      <w:rPr>
        <w:rFonts w:hint="default" w:ascii="Symbol" w:hAnsi="Symbol"/>
      </w:rPr>
    </w:lvl>
  </w:abstractNum>
  <w:abstractNum w:abstractNumId="87">
    <w:multiLevelType w:val="multilevel"/>
    <w:lvl w:ilvl="0">
      <w:start w:val="2"/>
      <w:numFmt w:val="decimal"/>
      <w:lvlText w:val="%1."/>
      <w:lvlJc w:val="left"/>
      <w:pPr>
        <w:ind w:left="960" w:hanging="360"/>
      </w:pPr>
    </w:lvl>
  </w:abstractNum>
  <w:abstractNum w:abstractNumId="88">
    <w:multiLevelType w:val="multilevel"/>
    <w:lvl w:ilvl="0">
      <w:start w:val="1"/>
      <w:numFmt w:val="bullet"/>
      <w:lvlText w:val=""/>
      <w:lvlJc w:val="left"/>
      <w:pPr>
        <w:ind w:left="960" w:hanging="360"/>
      </w:pPr>
      <w:rPr>
        <w:rFonts w:hint="default" w:ascii="Symbol" w:hAnsi="Symbol"/>
      </w:rPr>
    </w:lvl>
  </w:abstractNum>
  <w:abstractNum w:abstractNumId="89">
    <w:multiLevelType w:val="multilevel"/>
    <w:lvl w:ilvl="0">
      <w:start w:val="3"/>
      <w:numFmt w:val="decimal"/>
      <w:lvlText w:val="%1."/>
      <w:lvlJc w:val="left"/>
      <w:pPr>
        <w:ind w:left="960" w:hanging="360"/>
      </w:pPr>
    </w:lvl>
  </w:abstractNum>
  <w:abstractNum w:abstractNumId="90">
    <w:multiLevelType w:val="multilevel"/>
    <w:lvl w:ilvl="0">
      <w:start w:val="1"/>
      <w:numFmt w:val="bullet"/>
      <w:lvlText w:val=""/>
      <w:lvlJc w:val="left"/>
      <w:pPr>
        <w:ind w:left="960" w:hanging="360"/>
      </w:pPr>
      <w:rPr>
        <w:rFonts w:hint="default" w:ascii="Symbol" w:hAnsi="Symbol"/>
      </w:rPr>
    </w:lvl>
  </w:abstractNum>
  <w:abstractNum w:abstractNumId="91">
    <w:multiLevelType w:val="multilevel"/>
    <w:lvl w:ilvl="0">
      <w:start w:val="4"/>
      <w:numFmt w:val="decimal"/>
      <w:lvlText w:val="%1."/>
      <w:lvlJc w:val="left"/>
      <w:pPr>
        <w:ind w:left="960" w:hanging="360"/>
      </w:pPr>
    </w:lvl>
  </w:abstractNum>
  <w:abstractNum w:abstractNumId="92">
    <w:multiLevelType w:val="multilevel"/>
    <w:lvl w:ilvl="0">
      <w:start w:val="1"/>
      <w:numFmt w:val="bullet"/>
      <w:lvlText w:val=""/>
      <w:lvlJc w:val="left"/>
      <w:pPr>
        <w:ind w:left="960" w:hanging="360"/>
      </w:pPr>
      <w:rPr>
        <w:rFonts w:hint="default" w:ascii="Symbol" w:hAnsi="Symbol"/>
      </w:rPr>
    </w:lvl>
  </w:abstractNum>
  <w:abstractNum w:abstractNumId="93">
    <w:multiLevelType w:val="multilevel"/>
    <w:lvl w:ilvl="0">
      <w:start w:val="1"/>
      <w:numFmt w:val="decimal"/>
      <w:lvlText w:val="%1."/>
      <w:lvlJc w:val="left"/>
      <w:pPr>
        <w:ind w:left="960" w:hanging="360"/>
      </w:pPr>
    </w:lvl>
  </w:abstractNum>
  <w:abstractNum w:abstractNumId="94">
    <w:multiLevelType w:val="multilevel"/>
    <w:lvl w:ilvl="0">
      <w:start w:val="1"/>
      <w:numFmt w:val="bullet"/>
      <w:lvlText w:val=""/>
      <w:lvlJc w:val="left"/>
      <w:pPr>
        <w:ind w:left="960" w:hanging="360"/>
      </w:pPr>
      <w:rPr>
        <w:rFonts w:hint="default" w:ascii="Symbol" w:hAnsi="Symbol"/>
      </w:rPr>
    </w:lvl>
  </w:abstractNum>
  <w:abstractNum w:abstractNumId="95">
    <w:multiLevelType w:val="multilevel"/>
    <w:lvl w:ilvl="0">
      <w:start w:val="2"/>
      <w:numFmt w:val="decimal"/>
      <w:lvlText w:val="%1."/>
      <w:lvlJc w:val="left"/>
      <w:pPr>
        <w:ind w:left="960" w:hanging="360"/>
      </w:pPr>
    </w:lvl>
  </w:abstractNum>
  <w:abstractNum w:abstractNumId="96">
    <w:multiLevelType w:val="multilevel"/>
    <w:lvl w:ilvl="0">
      <w:start w:val="1"/>
      <w:numFmt w:val="bullet"/>
      <w:lvlText w:val=""/>
      <w:lvlJc w:val="left"/>
      <w:pPr>
        <w:ind w:left="960" w:hanging="360"/>
      </w:pPr>
      <w:rPr>
        <w:rFonts w:hint="default" w:ascii="Symbol" w:hAnsi="Symbol"/>
      </w:rPr>
    </w:lvl>
  </w:abstractNum>
  <w:abstractNum w:abstractNumId="97">
    <w:multiLevelType w:val="multilevel"/>
    <w:lvl w:ilvl="0">
      <w:start w:val="3"/>
      <w:numFmt w:val="decimal"/>
      <w:lvlText w:val="%1."/>
      <w:lvlJc w:val="left"/>
      <w:pPr>
        <w:ind w:left="960" w:hanging="360"/>
      </w:pPr>
    </w:lvl>
  </w:abstractNum>
  <w:abstractNum w:abstractNumId="98">
    <w:multiLevelType w:val="multilevel"/>
    <w:lvl w:ilvl="0">
      <w:start w:val="1"/>
      <w:numFmt w:val="bullet"/>
      <w:lvlText w:val=""/>
      <w:lvlJc w:val="left"/>
      <w:pPr>
        <w:ind w:left="960" w:hanging="360"/>
      </w:pPr>
      <w:rPr>
        <w:rFonts w:hint="default" w:ascii="Symbol" w:hAnsi="Symbol"/>
      </w:rPr>
    </w:lvl>
  </w:abstractNum>
  <w:abstractNum w:abstractNumId="99">
    <w:multiLevelType w:val="multilevel"/>
    <w:lvl w:ilvl="0">
      <w:start w:val="1"/>
      <w:numFmt w:val="decimal"/>
      <w:lvlText w:val="%1."/>
      <w:lvlJc w:val="left"/>
      <w:pPr>
        <w:ind w:left="960" w:hanging="360"/>
      </w:pPr>
    </w:lvl>
  </w:abstractNum>
  <w:abstractNum w:abstractNumId="100">
    <w:multiLevelType w:val="multilevel"/>
    <w:lvl w:ilvl="0">
      <w:start w:val="1"/>
      <w:numFmt w:val="bullet"/>
      <w:lvlText w:val=""/>
      <w:lvlJc w:val="left"/>
      <w:pPr>
        <w:ind w:left="960" w:hanging="360"/>
      </w:pPr>
      <w:rPr>
        <w:rFonts w:hint="default" w:ascii="Symbol" w:hAnsi="Symbol"/>
      </w:rPr>
    </w:lvl>
  </w:abstractNum>
  <w:abstractNum w:abstractNumId="101">
    <w:multiLevelType w:val="multilevel"/>
    <w:lvl w:ilvl="0">
      <w:start w:val="2"/>
      <w:numFmt w:val="decimal"/>
      <w:lvlText w:val="%1."/>
      <w:lvlJc w:val="left"/>
      <w:pPr>
        <w:ind w:left="960" w:hanging="360"/>
      </w:pPr>
    </w:lvl>
  </w:abstractNum>
  <w:abstractNum w:abstractNumId="102">
    <w:multiLevelType w:val="multilevel"/>
    <w:lvl w:ilvl="0">
      <w:start w:val="1"/>
      <w:numFmt w:val="bullet"/>
      <w:lvlText w:val=""/>
      <w:lvlJc w:val="left"/>
      <w:pPr>
        <w:ind w:left="960" w:hanging="360"/>
      </w:pPr>
      <w:rPr>
        <w:rFonts w:hint="default" w:ascii="Symbol" w:hAnsi="Symbol"/>
      </w:rPr>
    </w:lvl>
  </w:abstractNum>
  <w:abstractNum w:abstractNumId="103">
    <w:multiLevelType w:val="multilevel"/>
    <w:lvl w:ilvl="0">
      <w:start w:val="1"/>
      <w:numFmt w:val="decimal"/>
      <w:lvlText w:val="%1."/>
      <w:lvlJc w:val="left"/>
      <w:pPr>
        <w:ind w:left="960" w:hanging="360"/>
      </w:pPr>
    </w:lvl>
  </w:abstractNum>
  <w:abstractNum w:abstractNumId="104">
    <w:multiLevelType w:val="multilevel"/>
    <w:lvl w:ilvl="0">
      <w:start w:val="1"/>
      <w:numFmt w:val="bullet"/>
      <w:lvlText w:val=""/>
      <w:lvlJc w:val="left"/>
      <w:pPr>
        <w:ind w:left="960" w:hanging="360"/>
      </w:pPr>
      <w:rPr>
        <w:rFonts w:hint="default" w:ascii="Symbol" w:hAnsi="Symbol"/>
      </w:rPr>
    </w:lvl>
  </w:abstractNum>
  <w:abstractNum w:abstractNumId="105">
    <w:multiLevelType w:val="multilevel"/>
    <w:lvl w:ilvl="0">
      <w:start w:val="2"/>
      <w:numFmt w:val="decimal"/>
      <w:lvlText w:val="%1."/>
      <w:lvlJc w:val="left"/>
      <w:pPr>
        <w:ind w:left="960" w:hanging="360"/>
      </w:pPr>
    </w:lvl>
  </w:abstractNum>
  <w:abstractNum w:abstractNumId="106">
    <w:multiLevelType w:val="multilevel"/>
    <w:lvl w:ilvl="0">
      <w:start w:val="1"/>
      <w:numFmt w:val="bullet"/>
      <w:lvlText w:val=""/>
      <w:lvlJc w:val="left"/>
      <w:pPr>
        <w:ind w:left="960" w:hanging="360"/>
      </w:pPr>
      <w:rPr>
        <w:rFonts w:hint="default" w:ascii="Symbol" w:hAnsi="Symbol"/>
      </w:rPr>
    </w:lvl>
  </w:abstractNum>
  <w:abstractNum w:abstractNumId="107">
    <w:multiLevelType w:val="multilevel"/>
    <w:lvl w:ilvl="0">
      <w:start w:val="3"/>
      <w:numFmt w:val="decimal"/>
      <w:lvlText w:val="%1."/>
      <w:lvlJc w:val="left"/>
      <w:pPr>
        <w:ind w:left="960" w:hanging="360"/>
      </w:pPr>
    </w:lvl>
  </w:abstractNum>
  <w:abstractNum w:abstractNumId="108">
    <w:multiLevelType w:val="multilevel"/>
    <w:lvl w:ilvl="0">
      <w:start w:val="1"/>
      <w:numFmt w:val="bullet"/>
      <w:lvlText w:val=""/>
      <w:lvlJc w:val="left"/>
      <w:pPr>
        <w:ind w:left="960" w:hanging="360"/>
      </w:pPr>
      <w:rPr>
        <w:rFonts w:hint="default" w:ascii="Symbol" w:hAnsi="Symbol"/>
      </w:rPr>
    </w:lvl>
  </w:abstractNum>
  <w:abstractNum w:abstractNumId="109">
    <w:multiLevelType w:val="multilevel"/>
    <w:lvl w:ilvl="0">
      <w:start w:val="1"/>
      <w:numFmt w:val="decimal"/>
      <w:lvlText w:val="%1."/>
      <w:lvlJc w:val="left"/>
      <w:pPr>
        <w:ind w:left="960" w:hanging="360"/>
      </w:pPr>
    </w:lvl>
  </w:abstractNum>
  <w:abstractNum w:abstractNumId="110">
    <w:multiLevelType w:val="multilevel"/>
    <w:lvl w:ilvl="0">
      <w:start w:val="1"/>
      <w:numFmt w:val="bullet"/>
      <w:lvlText w:val=""/>
      <w:lvlJc w:val="left"/>
      <w:pPr>
        <w:ind w:left="960" w:hanging="360"/>
      </w:pPr>
      <w:rPr>
        <w:rFonts w:hint="default" w:ascii="Symbol" w:hAnsi="Symbol"/>
      </w:rPr>
    </w:lvl>
  </w:abstractNum>
  <w:abstractNum w:abstractNumId="111">
    <w:multiLevelType w:val="multilevel"/>
    <w:lvl w:ilvl="0">
      <w:start w:val="2"/>
      <w:numFmt w:val="decimal"/>
      <w:lvlText w:val="%1."/>
      <w:lvlJc w:val="left"/>
      <w:pPr>
        <w:ind w:left="960" w:hanging="360"/>
      </w:pPr>
    </w:lvl>
  </w:abstractNum>
  <w:abstractNum w:abstractNumId="112">
    <w:multiLevelType w:val="multilevel"/>
    <w:lvl w:ilvl="0">
      <w:start w:val="1"/>
      <w:numFmt w:val="bullet"/>
      <w:lvlText w:val=""/>
      <w:lvlJc w:val="left"/>
      <w:pPr>
        <w:ind w:left="960" w:hanging="360"/>
      </w:pPr>
      <w:rPr>
        <w:rFonts w:hint="default" w:ascii="Symbol" w:hAnsi="Symbol"/>
      </w:rPr>
    </w:lvl>
  </w:abstractNum>
  <w:abstractNum w:abstractNumId="113">
    <w:multiLevelType w:val="multilevel"/>
    <w:lvl w:ilvl="0">
      <w:start w:val="1"/>
      <w:numFmt w:val="decimal"/>
      <w:lvlText w:val="%1."/>
      <w:lvlJc w:val="left"/>
      <w:pPr>
        <w:ind w:left="960" w:hanging="360"/>
      </w:pPr>
    </w:lvl>
  </w:abstractNum>
  <w:abstractNum w:abstractNumId="114">
    <w:multiLevelType w:val="multilevel"/>
    <w:lvl w:ilvl="0">
      <w:start w:val="1"/>
      <w:numFmt w:val="bullet"/>
      <w:lvlText w:val=""/>
      <w:lvlJc w:val="left"/>
      <w:pPr>
        <w:ind w:left="960" w:hanging="360"/>
      </w:pPr>
      <w:rPr>
        <w:rFonts w:hint="default" w:ascii="Symbol" w:hAnsi="Symbol"/>
      </w:rPr>
    </w:lvl>
  </w:abstractNum>
  <w:abstractNum w:abstractNumId="115">
    <w:multiLevelType w:val="multilevel"/>
    <w:lvl w:ilvl="0">
      <w:start w:val="2"/>
      <w:numFmt w:val="decimal"/>
      <w:lvlText w:val="%1."/>
      <w:lvlJc w:val="left"/>
      <w:pPr>
        <w:ind w:left="960" w:hanging="360"/>
      </w:pPr>
    </w:lvl>
  </w:abstractNum>
  <w:abstractNum w:abstractNumId="116">
    <w:multiLevelType w:val="multilevel"/>
    <w:lvl w:ilvl="0">
      <w:start w:val="1"/>
      <w:numFmt w:val="bullet"/>
      <w:lvlText w:val=""/>
      <w:lvlJc w:val="left"/>
      <w:pPr>
        <w:ind w:left="960" w:hanging="360"/>
      </w:pPr>
      <w:rPr>
        <w:rFonts w:hint="default" w:ascii="Symbol" w:hAnsi="Symbol"/>
      </w:rPr>
    </w:lvl>
  </w:abstractNum>
  <w:abstractNum w:abstractNumId="117">
    <w:multiLevelType w:val="multilevel"/>
    <w:lvl w:ilvl="0">
      <w:start w:val="1"/>
      <w:numFmt w:val="decimal"/>
      <w:lvlText w:val="%1."/>
      <w:lvlJc w:val="left"/>
      <w:pPr>
        <w:ind w:left="960" w:hanging="360"/>
      </w:pPr>
    </w:lvl>
  </w:abstractNum>
  <w:abstractNum w:abstractNumId="118">
    <w:multiLevelType w:val="multilevel"/>
    <w:lvl w:ilvl="0">
      <w:start w:val="1"/>
      <w:numFmt w:val="bullet"/>
      <w:lvlText w:val=""/>
      <w:lvlJc w:val="left"/>
      <w:pPr>
        <w:ind w:left="960" w:hanging="360"/>
      </w:pPr>
      <w:rPr>
        <w:rFonts w:hint="default" w:ascii="Symbol" w:hAnsi="Symbol"/>
      </w:rPr>
    </w:lvl>
  </w:abstractNum>
  <w:abstractNum w:abstractNumId="119">
    <w:multiLevelType w:val="multilevel"/>
    <w:lvl w:ilvl="0">
      <w:start w:val="1"/>
      <w:numFmt w:val="bullet"/>
      <w:lvlText w:val=""/>
      <w:lvlJc w:val="left"/>
      <w:pPr>
        <w:ind w:left="960" w:hanging="360"/>
      </w:pPr>
      <w:rPr>
        <w:rFonts w:hint="default" w:ascii="Symbol" w:hAnsi="Symbol"/>
      </w:rPr>
    </w:lvl>
  </w:abstractNum>
  <w:abstractNum w:abstractNumId="120">
    <w:multiLevelType w:val="multilevel"/>
    <w:lvl w:ilvl="0">
      <w:start w:val="2"/>
      <w:numFmt w:val="decimal"/>
      <w:lvlText w:val="%1."/>
      <w:lvlJc w:val="left"/>
      <w:pPr>
        <w:ind w:left="960" w:hanging="360"/>
      </w:pPr>
    </w:lvl>
  </w:abstractNum>
  <w:abstractNum w:abstractNumId="121">
    <w:multiLevelType w:val="multilevel"/>
    <w:lvl w:ilvl="0">
      <w:start w:val="1"/>
      <w:numFmt w:val="bullet"/>
      <w:lvlText w:val=""/>
      <w:lvlJc w:val="left"/>
      <w:pPr>
        <w:ind w:left="960" w:hanging="360"/>
      </w:pPr>
      <w:rPr>
        <w:rFonts w:hint="default" w:ascii="Symbol" w:hAnsi="Symbol"/>
      </w:rPr>
    </w:lvl>
  </w:abstractNum>
  <w:abstractNum w:abstractNumId="122">
    <w:multiLevelType w:val="multilevel"/>
    <w:lvl w:ilvl="0">
      <w:start w:val="1"/>
      <w:numFmt w:val="decimal"/>
      <w:lvlText w:val="%1."/>
      <w:lvlJc w:val="left"/>
      <w:pPr>
        <w:ind w:left="960" w:hanging="360"/>
      </w:pPr>
    </w:lvl>
  </w:abstractNum>
  <w:abstractNum w:abstractNumId="123">
    <w:multiLevelType w:val="multilevel"/>
    <w:lvl w:ilvl="0">
      <w:start w:val="1"/>
      <w:numFmt w:val="bullet"/>
      <w:lvlText w:val=""/>
      <w:lvlJc w:val="left"/>
      <w:pPr>
        <w:ind w:left="960" w:hanging="360"/>
      </w:pPr>
      <w:rPr>
        <w:rFonts w:hint="default" w:ascii="Symbol" w:hAnsi="Symbol"/>
      </w:rPr>
    </w:lvl>
  </w:abstractNum>
  <w:abstractNum w:abstractNumId="124">
    <w:multiLevelType w:val="multilevel"/>
    <w:lvl w:ilvl="0">
      <w:start w:val="4"/>
      <w:numFmt w:val="decimal"/>
      <w:lvlText w:val="%1."/>
      <w:lvlJc w:val="left"/>
      <w:pPr>
        <w:ind w:left="960" w:hanging="360"/>
      </w:pPr>
    </w:lvl>
  </w:abstractNum>
  <w:abstractNum w:abstractNumId="125">
    <w:multiLevelType w:val="multilevel"/>
    <w:lvl w:ilvl="0">
      <w:start w:val="1"/>
      <w:numFmt w:val="bullet"/>
      <w:lvlText w:val=""/>
      <w:lvlJc w:val="left"/>
      <w:pPr>
        <w:ind w:left="960" w:hanging="360"/>
      </w:pPr>
      <w:rPr>
        <w:rFonts w:hint="default"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bering>
</file>

<file path=word/settings.xml><?xml version="1.0" encoding="utf-8"?>
<w:setting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