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ECE0448" w14:textId="77777777" w:rsidR="009E0323" w:rsidRDefault="009E0323" w:rsidP="009E0323">
      <w:pPr>
        <w:jc w:val="center"/>
      </w:pPr>
    </w:p>
    <w:p w14:paraId="2915B048" w14:textId="4875343B" w:rsidR="009E0323" w:rsidRPr="009E0323" w:rsidRDefault="009E0323" w:rsidP="009E0323">
      <w:pPr>
        <w:jc w:val="both"/>
      </w:pPr>
      <w:r w:rsidRPr="009E0323">
        <w:rPr>
          <w:b/>
          <w:bCs/>
        </w:rPr>
        <w:t>The Semiconductor Surge: Malaysia's Path to Economic Prosperity</w:t>
      </w:r>
      <w:r w:rsidRPr="009E0323">
        <w:rPr>
          <w:b/>
          <w:bCs/>
        </w:rPr>
        <w:t xml:space="preserve"> </w:t>
      </w:r>
    </w:p>
    <w:p w14:paraId="40188D8D" w14:textId="77777777" w:rsidR="009E0323" w:rsidRPr="009E0323" w:rsidRDefault="009E0323" w:rsidP="009E0323">
      <w:pPr>
        <w:jc w:val="both"/>
      </w:pPr>
      <w:r w:rsidRPr="009E0323">
        <w:pict w14:anchorId="69D2BD06">
          <v:rect id="_x0000_i1031" style="width:0;height:1.5pt" o:hralign="center" o:hrstd="t" o:hrnoshade="t" o:hr="t" fillcolor="#242424" stroked="f"/>
        </w:pict>
      </w:r>
    </w:p>
    <w:p w14:paraId="08FB3A6F" w14:textId="61B5641D" w:rsidR="009E0323" w:rsidRPr="009E0323" w:rsidRDefault="009E0323" w:rsidP="009E0323">
      <w:pPr>
        <w:jc w:val="both"/>
      </w:pPr>
      <w:r w:rsidRPr="009E0323">
        <w:rPr>
          <w:b/>
          <w:bCs/>
        </w:rPr>
        <w:t>Author(s):</w:t>
      </w:r>
      <w:r w:rsidRPr="009E0323">
        <w:br/>
      </w:r>
      <w:r>
        <w:t>M Amirun Haziq</w:t>
      </w:r>
    </w:p>
    <w:p w14:paraId="28FD707E" w14:textId="79090A2F" w:rsidR="009E0323" w:rsidRPr="009E0323" w:rsidRDefault="009E0323" w:rsidP="009E0323">
      <w:pPr>
        <w:jc w:val="both"/>
      </w:pPr>
      <w:r w:rsidRPr="009E0323">
        <w:rPr>
          <w:b/>
          <w:bCs/>
        </w:rPr>
        <w:t>Date:</w:t>
      </w:r>
      <w:r w:rsidRPr="009E0323">
        <w:br/>
      </w:r>
      <w:r>
        <w:t>09/03/2025</w:t>
      </w:r>
    </w:p>
    <w:p w14:paraId="1BE6910A" w14:textId="77777777" w:rsidR="009E0323" w:rsidRPr="009E0323" w:rsidRDefault="009E0323" w:rsidP="009E0323">
      <w:pPr>
        <w:jc w:val="both"/>
        <w:rPr>
          <w:b/>
          <w:bCs/>
        </w:rPr>
      </w:pPr>
      <w:r w:rsidRPr="009E0323">
        <w:rPr>
          <w:b/>
          <w:bCs/>
        </w:rPr>
        <w:t>Objective:</w:t>
      </w:r>
      <w:r w:rsidRPr="009E0323">
        <w:rPr>
          <w:b/>
          <w:bCs/>
        </w:rPr>
        <w:br/>
      </w:r>
      <w:r w:rsidRPr="009E0323">
        <w:t xml:space="preserve">To </w:t>
      </w:r>
      <w:proofErr w:type="spellStart"/>
      <w:r w:rsidRPr="009E0323">
        <w:t>analyze</w:t>
      </w:r>
      <w:proofErr w:type="spellEnd"/>
      <w:r w:rsidRPr="009E0323">
        <w:t xml:space="preserve"> how Malaysia's burgeoning semiconductor industry, bolstered by strategic partnerships and government support, is poised to significantly enhance the nation's economic growth and global standing.</w:t>
      </w:r>
    </w:p>
    <w:p w14:paraId="7756DC6F" w14:textId="77777777" w:rsidR="009E0323" w:rsidRPr="009E0323" w:rsidRDefault="009E0323" w:rsidP="009E0323">
      <w:pPr>
        <w:jc w:val="both"/>
        <w:rPr>
          <w:b/>
          <w:bCs/>
        </w:rPr>
      </w:pPr>
      <w:r w:rsidRPr="009E0323">
        <w:rPr>
          <w:b/>
          <w:bCs/>
        </w:rPr>
        <w:t>Summary:</w:t>
      </w:r>
      <w:r w:rsidRPr="009E0323">
        <w:rPr>
          <w:b/>
          <w:bCs/>
        </w:rPr>
        <w:br/>
      </w:r>
      <w:r w:rsidRPr="009E0323">
        <w:t>Malaysia's semiconductor industry, contributing 40% of exports and employing over 300,000 people, is set to boost GDP significantly. The partnership with ARM Holdings enhances technology transfer, R&amp;D, and skill development. Efforts to shift to higher-skill, higher-wage roles are supported by specialized training and incentives. With rising global demand and strong government support, the industry is poised for sustained growth and increased economic impact.</w:t>
      </w:r>
    </w:p>
    <w:p w14:paraId="1DD16625" w14:textId="3A48F4DD" w:rsidR="009E0323" w:rsidRPr="009E0323" w:rsidRDefault="009E0323" w:rsidP="009E0323">
      <w:pPr>
        <w:jc w:val="both"/>
      </w:pPr>
      <w:r w:rsidRPr="009E0323">
        <w:br/>
      </w:r>
    </w:p>
    <w:p w14:paraId="05486127" w14:textId="333F692C" w:rsidR="009E0323" w:rsidRPr="009E0323" w:rsidRDefault="009E0323" w:rsidP="009E0323">
      <w:r w:rsidRPr="009E0323">
        <w:rPr>
          <w:b/>
          <w:bCs/>
        </w:rPr>
        <w:t>Contact Information:</w:t>
      </w:r>
      <w:r w:rsidRPr="009E0323">
        <w:br/>
      </w:r>
      <w:r>
        <w:t>amirunhaziq2022@gmail.com</w:t>
      </w:r>
      <w:r w:rsidRPr="009E0323">
        <w:br/>
      </w:r>
      <w:r>
        <w:t>016-780 9910</w:t>
      </w:r>
      <w:r w:rsidRPr="009E0323">
        <w:br/>
      </w:r>
      <w:r>
        <w:t>Puchong, Selangor</w:t>
      </w:r>
    </w:p>
    <w:p w14:paraId="33964029" w14:textId="77777777" w:rsidR="009E0323" w:rsidRDefault="009E0323">
      <w:r>
        <w:br w:type="page"/>
      </w:r>
    </w:p>
    <w:p w14:paraId="74CF7EA0" w14:textId="432312D5" w:rsidR="00955ABD" w:rsidRDefault="00955ABD" w:rsidP="00955ABD">
      <w:pPr>
        <w:jc w:val="both"/>
      </w:pPr>
      <w:r>
        <w:lastRenderedPageBreak/>
        <w:t>The Semiconductor Surge: Malaysia's Path to Economic Prosperity</w:t>
      </w:r>
    </w:p>
    <w:p w14:paraId="5739B5C3" w14:textId="4CA47F52" w:rsidR="00955ABD" w:rsidRDefault="00955ABD" w:rsidP="00955ABD">
      <w:pPr>
        <w:jc w:val="both"/>
      </w:pPr>
      <w:r>
        <w:t xml:space="preserve">By </w:t>
      </w:r>
      <w:r>
        <w:t>Amirun Haziq</w:t>
      </w:r>
    </w:p>
    <w:p w14:paraId="5BFEDA92" w14:textId="77777777" w:rsidR="00955ABD" w:rsidRDefault="00955ABD" w:rsidP="00955ABD">
      <w:pPr>
        <w:jc w:val="both"/>
      </w:pPr>
    </w:p>
    <w:p w14:paraId="411787B3" w14:textId="073A689D" w:rsidR="00955ABD" w:rsidRDefault="00955ABD" w:rsidP="00955ABD">
      <w:pPr>
        <w:jc w:val="both"/>
      </w:pPr>
      <w:r>
        <w:t>In the heart of Southeast Asia, Malaysia is poised to become a powerhouse in the global semiconductor industry. This strategic sector, already a cornerstone of the nation's economy, is set to drive unprecedented growth in Malaysia's Gross Domestic Product (GDP). As the world grapples with a semiconductor shortage, Malaysia's burgeoning collaboration with ARM Holdings and its ambitious shift from low-wage manufacturing to high-skill innovation are pivotal to its economic ascent.</w:t>
      </w:r>
      <w:r w:rsidR="001D3886">
        <w:t xml:space="preserve"> </w:t>
      </w:r>
      <w:r>
        <w:t>Malaysia's semiconductor industry is not just a significant contributor to the national economy; it is a linchpin. Accounting for approximately 40% of the country's total exports, the sector employs over 300,000 people and contributes around 7% to the GDP. In 202</w:t>
      </w:r>
      <w:r w:rsidR="00D41336">
        <w:t>3</w:t>
      </w:r>
      <w:r>
        <w:t xml:space="preserve"> alone, semiconductor exports were valued at an impressive </w:t>
      </w:r>
      <w:r w:rsidR="00D41336">
        <w:t>RM 575</w:t>
      </w:r>
      <w:r>
        <w:t xml:space="preserve"> billion, underscoring Malaysia's critical role in the global supply chain (Source:</w:t>
      </w:r>
      <w:r w:rsidR="00D41336">
        <w:t xml:space="preserve"> </w:t>
      </w:r>
      <w:hyperlink r:id="rId4" w:history="1">
        <w:r w:rsidR="00D41336" w:rsidRPr="00D41336">
          <w:rPr>
            <w:rStyle w:val="Hyperlink"/>
          </w:rPr>
          <w:t>The Edge Malaysia</w:t>
        </w:r>
      </w:hyperlink>
      <w:r>
        <w:t>).</w:t>
      </w:r>
    </w:p>
    <w:p w14:paraId="3EBDC07C" w14:textId="77777777" w:rsidR="00955ABD" w:rsidRDefault="00955ABD" w:rsidP="00955ABD">
      <w:pPr>
        <w:jc w:val="both"/>
      </w:pPr>
    </w:p>
    <w:p w14:paraId="37CC619B" w14:textId="77777777" w:rsidR="00955ABD" w:rsidRDefault="00955ABD" w:rsidP="00955ABD">
      <w:pPr>
        <w:jc w:val="both"/>
      </w:pPr>
      <w:r>
        <w:t>The recent collaboration between Malaysia and ARM Holdings, a leader in semiconductor and software design, marks a transformative chapter for the industry. This partnership is multifaceted, focusing on technology transfer, research and development (R&amp;D), and skill development.</w:t>
      </w:r>
    </w:p>
    <w:p w14:paraId="36C94A41" w14:textId="77777777" w:rsidR="00955ABD" w:rsidRDefault="00955ABD" w:rsidP="00955ABD">
      <w:pPr>
        <w:jc w:val="both"/>
      </w:pPr>
    </w:p>
    <w:p w14:paraId="3667F1CB" w14:textId="18DB7232" w:rsidR="00955ABD" w:rsidRDefault="00955ABD" w:rsidP="00955ABD">
      <w:pPr>
        <w:jc w:val="both"/>
      </w:pPr>
      <w:r>
        <w:t xml:space="preserve">ARM's cutting-edge technology is now within reach of Malaysian companies, enabling them to produce advanced and competitive semiconductor products. This access is crucial for maintaining Malaysia's edge in a highly competitive market (Source: </w:t>
      </w:r>
      <w:hyperlink r:id="rId5" w:history="1">
        <w:r w:rsidRPr="00955ABD">
          <w:rPr>
            <w:rStyle w:val="Hyperlink"/>
          </w:rPr>
          <w:t>Malaysian Investment Development Authority</w:t>
        </w:r>
      </w:hyperlink>
      <w:r>
        <w:t>).</w:t>
      </w:r>
      <w:r w:rsidR="001D3886">
        <w:t xml:space="preserve"> </w:t>
      </w:r>
      <w:r>
        <w:t xml:space="preserve">Joint R&amp;D initiatives are fostering innovation, driving the development of new technologies and products. This collaboration not only enhances Malaysia's technological capabilities but also positions it as a hub for semiconductor innovation (Source: </w:t>
      </w:r>
      <w:hyperlink r:id="rId6" w:history="1">
        <w:r w:rsidRPr="00955ABD">
          <w:rPr>
            <w:rStyle w:val="Hyperlink"/>
          </w:rPr>
          <w:t>Malaysian Investment Development Authority</w:t>
        </w:r>
      </w:hyperlink>
      <w:r>
        <w:t>).</w:t>
      </w:r>
      <w:r w:rsidR="001D3886">
        <w:t xml:space="preserve"> </w:t>
      </w:r>
      <w:r>
        <w:t xml:space="preserve">ARM's presence in Malaysia is a boon for the local workforce. Through training programs and workshops, Malaysian </w:t>
      </w:r>
      <w:r w:rsidR="00D41336">
        <w:t xml:space="preserve">10,000 IC design </w:t>
      </w:r>
      <w:r>
        <w:t xml:space="preserve">engineers and technicians are acquiring advanced skills in semiconductor design and manufacturing, elevating the industry's overall expertise (Source: </w:t>
      </w:r>
      <w:hyperlink r:id="rId7" w:history="1">
        <w:r w:rsidR="00D41336" w:rsidRPr="00D41336">
          <w:rPr>
            <w:rStyle w:val="Hyperlink"/>
          </w:rPr>
          <w:t>Business Today</w:t>
        </w:r>
      </w:hyperlink>
      <w:r>
        <w:t>).</w:t>
      </w:r>
    </w:p>
    <w:p w14:paraId="4CB3C6BF" w14:textId="77777777" w:rsidR="00955ABD" w:rsidRDefault="00955ABD" w:rsidP="00955ABD">
      <w:pPr>
        <w:jc w:val="both"/>
      </w:pPr>
    </w:p>
    <w:p w14:paraId="3BA3D093" w14:textId="3D60980D" w:rsidR="00955ABD" w:rsidRDefault="00955ABD" w:rsidP="00955ABD">
      <w:pPr>
        <w:jc w:val="both"/>
      </w:pPr>
      <w:r>
        <w:t>The Malaysian government, in tandem with industry stakeholders, is spearheading efforts to transition the semiconductor workforce from low-wage, low-skill jobs to higher-wage, high-skill positions. This strategic shift is essential for sustaining long-term growth and competitiveness</w:t>
      </w:r>
      <w:r w:rsidR="001D3886">
        <w:t xml:space="preserve"> </w:t>
      </w:r>
      <w:r>
        <w:t xml:space="preserve">(Source: </w:t>
      </w:r>
      <w:hyperlink r:id="rId8" w:history="1">
        <w:r w:rsidRPr="00955ABD">
          <w:rPr>
            <w:rStyle w:val="Hyperlink"/>
          </w:rPr>
          <w:t>Malaysian Investment Development Authority</w:t>
        </w:r>
      </w:hyperlink>
      <w:r>
        <w:t>)</w:t>
      </w:r>
      <w:r w:rsidR="001D3886">
        <w:t xml:space="preserve">. </w:t>
      </w:r>
      <w:r>
        <w:t xml:space="preserve">Specialized courses in semiconductor technology, integrated circuit (IC) design, and related fields are being offered through partnerships with educational institutions. These programs aim to equip the workforce with the skills needed for more complex and higher-paying roles (Source: </w:t>
      </w:r>
      <w:hyperlink r:id="rId9" w:history="1">
        <w:r w:rsidR="00F248AC" w:rsidRPr="00F248AC">
          <w:rPr>
            <w:rStyle w:val="Hyperlink"/>
          </w:rPr>
          <w:t>TVET Madani</w:t>
        </w:r>
      </w:hyperlink>
      <w:r>
        <w:t>).</w:t>
      </w:r>
      <w:r w:rsidR="001D3886">
        <w:t xml:space="preserve"> </w:t>
      </w:r>
      <w:r>
        <w:t>Financial incentives and grants are being provided to companies that invest in employee training and development. This initiative encourages firms to upskill their workforce, leading to higher productivity and better job opportunities (Source:</w:t>
      </w:r>
      <w:r w:rsidR="001D3886">
        <w:t xml:space="preserve"> </w:t>
      </w:r>
      <w:hyperlink r:id="rId10" w:history="1">
        <w:r w:rsidR="001D3886" w:rsidRPr="001D3886">
          <w:rPr>
            <w:rStyle w:val="Hyperlink"/>
          </w:rPr>
          <w:t>IJHRD</w:t>
        </w:r>
      </w:hyperlink>
      <w:r>
        <w:t>).</w:t>
      </w:r>
      <w:r w:rsidR="001D3886">
        <w:t xml:space="preserve"> </w:t>
      </w:r>
      <w:r>
        <w:t xml:space="preserve">Clear career pathways are being established within companies, allowing employees to progress from entry-level positions to more advanced roles. This not only motivates the workforce but also helps retain talent within the industry (Source: </w:t>
      </w:r>
      <w:hyperlink r:id="rId11" w:history="1">
        <w:proofErr w:type="spellStart"/>
        <w:r w:rsidR="001D3886" w:rsidRPr="001D3886">
          <w:rPr>
            <w:rStyle w:val="Hyperlink"/>
          </w:rPr>
          <w:t>Vitrox</w:t>
        </w:r>
        <w:proofErr w:type="spellEnd"/>
        <w:r w:rsidR="001D3886" w:rsidRPr="001D3886">
          <w:rPr>
            <w:rStyle w:val="Hyperlink"/>
          </w:rPr>
          <w:t xml:space="preserve"> Academy</w:t>
        </w:r>
      </w:hyperlink>
      <w:r>
        <w:t>).</w:t>
      </w:r>
    </w:p>
    <w:p w14:paraId="16856EB2" w14:textId="77777777" w:rsidR="00955ABD" w:rsidRDefault="00955ABD" w:rsidP="00955ABD">
      <w:pPr>
        <w:jc w:val="both"/>
      </w:pPr>
    </w:p>
    <w:p w14:paraId="171D2C46" w14:textId="77777777" w:rsidR="00955ABD" w:rsidRDefault="00955ABD" w:rsidP="00955ABD">
      <w:pPr>
        <w:jc w:val="both"/>
      </w:pPr>
      <w:r>
        <w:t>The future of Malaysia's semiconductor industry is bright, with several factors contributing to its growth trajectory:</w:t>
      </w:r>
    </w:p>
    <w:p w14:paraId="55383AEB" w14:textId="77777777" w:rsidR="00955ABD" w:rsidRDefault="00955ABD" w:rsidP="00955ABD">
      <w:pPr>
        <w:jc w:val="both"/>
      </w:pPr>
    </w:p>
    <w:p w14:paraId="53BAC74A" w14:textId="71EA818A" w:rsidR="00955ABD" w:rsidRDefault="00955ABD" w:rsidP="00955ABD">
      <w:pPr>
        <w:jc w:val="both"/>
      </w:pPr>
      <w:r>
        <w:t>The global demand for semiconductors is expected to continue rising, driven by technological advancements and the proliferation of electronic devices. Malaysia, with its established manufacturing base, is well-positioned to capitalize on this trend</w:t>
      </w:r>
      <w:r w:rsidR="001D3886">
        <w:t xml:space="preserve">. </w:t>
      </w:r>
      <w:r>
        <w:t xml:space="preserve">Recognizing the semiconductor industry's potential, the Malaysian government is providing substantial support through tax </w:t>
      </w:r>
      <w:r w:rsidR="001D3886">
        <w:t>elasticity</w:t>
      </w:r>
      <w:r>
        <w:t xml:space="preserve">, infrastructure development, and policy initiatives. This support is crucial for sustaining growth and attracting further investment (Source: </w:t>
      </w:r>
      <w:hyperlink r:id="rId12" w:history="1">
        <w:r w:rsidR="001D3886" w:rsidRPr="001D3886">
          <w:rPr>
            <w:rStyle w:val="Hyperlink"/>
          </w:rPr>
          <w:t>Malaysian Investment Development Authority</w:t>
        </w:r>
      </w:hyperlink>
      <w:r>
        <w:t>).</w:t>
      </w:r>
      <w:r w:rsidR="001D3886">
        <w:t xml:space="preserve"> </w:t>
      </w:r>
      <w:r>
        <w:t xml:space="preserve">Continuous innovation and diversification into new areas such as IC design, semiconductor packaging, and testing will help Malaysia maintain its competitive edge in the global market (Source: </w:t>
      </w:r>
      <w:hyperlink r:id="rId13" w:history="1">
        <w:r w:rsidR="001D3886" w:rsidRPr="001D3886">
          <w:rPr>
            <w:rStyle w:val="Hyperlink"/>
          </w:rPr>
          <w:t>The Edge</w:t>
        </w:r>
      </w:hyperlink>
      <w:r>
        <w:t>).</w:t>
      </w:r>
    </w:p>
    <w:p w14:paraId="3F7C47DC" w14:textId="77777777" w:rsidR="00955ABD" w:rsidRDefault="00955ABD" w:rsidP="00955ABD">
      <w:pPr>
        <w:jc w:val="both"/>
      </w:pPr>
    </w:p>
    <w:p w14:paraId="1DDDA4EE" w14:textId="77777777" w:rsidR="00955ABD" w:rsidRDefault="00955ABD" w:rsidP="00955ABD">
      <w:pPr>
        <w:jc w:val="both"/>
      </w:pPr>
      <w:r>
        <w:t>In conclusion, Malaysia's semiconductor industry is a vital engine of economic growth, contributing significantly to GDP, export revenue, and employment. The strategic partnership with ARM and efforts to transition to higher wages and skills are further enhancing the industry's impact. With continued support and investment, Malaysia's semiconductor industry is poised for sustained growth and increased contribution to the nation's GDP.</w:t>
      </w:r>
    </w:p>
    <w:p w14:paraId="7F7BC58B" w14:textId="77777777" w:rsidR="00727DAD" w:rsidRDefault="00727DAD" w:rsidP="00955ABD">
      <w:pPr>
        <w:jc w:val="both"/>
      </w:pPr>
    </w:p>
    <w:sectPr w:rsidR="00727DAD">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95"/>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55ABD"/>
    <w:rsid w:val="001D3886"/>
    <w:rsid w:val="00710776"/>
    <w:rsid w:val="00727DAD"/>
    <w:rsid w:val="00955ABD"/>
    <w:rsid w:val="009E0323"/>
    <w:rsid w:val="00CF7527"/>
    <w:rsid w:val="00D41336"/>
    <w:rsid w:val="00DC1F4F"/>
    <w:rsid w:val="00F248AC"/>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35EAA"/>
  <w15:chartTrackingRefBased/>
  <w15:docId w15:val="{5E2D630D-D53C-4F56-8168-69A5228E904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55A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55A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55AB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55A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55A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55ABD"/>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55ABD"/>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55ABD"/>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55ABD"/>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55A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55A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55A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55A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55A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55A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55A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55A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55ABD"/>
    <w:rPr>
      <w:rFonts w:eastAsiaTheme="majorEastAsia" w:cstheme="majorBidi"/>
      <w:color w:val="272727" w:themeColor="text1" w:themeTint="D8"/>
    </w:rPr>
  </w:style>
  <w:style w:type="paragraph" w:styleId="Title">
    <w:name w:val="Title"/>
    <w:basedOn w:val="Normal"/>
    <w:next w:val="Normal"/>
    <w:link w:val="TitleChar"/>
    <w:uiPriority w:val="10"/>
    <w:qFormat/>
    <w:rsid w:val="00955ABD"/>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55A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55ABD"/>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55A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55ABD"/>
    <w:pPr>
      <w:spacing w:before="160"/>
      <w:jc w:val="center"/>
    </w:pPr>
    <w:rPr>
      <w:i/>
      <w:iCs/>
      <w:color w:val="404040" w:themeColor="text1" w:themeTint="BF"/>
    </w:rPr>
  </w:style>
  <w:style w:type="character" w:customStyle="1" w:styleId="QuoteChar">
    <w:name w:val="Quote Char"/>
    <w:basedOn w:val="DefaultParagraphFont"/>
    <w:link w:val="Quote"/>
    <w:uiPriority w:val="29"/>
    <w:rsid w:val="00955ABD"/>
    <w:rPr>
      <w:i/>
      <w:iCs/>
      <w:color w:val="404040" w:themeColor="text1" w:themeTint="BF"/>
    </w:rPr>
  </w:style>
  <w:style w:type="paragraph" w:styleId="ListParagraph">
    <w:name w:val="List Paragraph"/>
    <w:basedOn w:val="Normal"/>
    <w:uiPriority w:val="34"/>
    <w:qFormat/>
    <w:rsid w:val="00955ABD"/>
    <w:pPr>
      <w:ind w:left="720"/>
      <w:contextualSpacing/>
    </w:pPr>
  </w:style>
  <w:style w:type="character" w:styleId="IntenseEmphasis">
    <w:name w:val="Intense Emphasis"/>
    <w:basedOn w:val="DefaultParagraphFont"/>
    <w:uiPriority w:val="21"/>
    <w:qFormat/>
    <w:rsid w:val="00955ABD"/>
    <w:rPr>
      <w:i/>
      <w:iCs/>
      <w:color w:val="0F4761" w:themeColor="accent1" w:themeShade="BF"/>
    </w:rPr>
  </w:style>
  <w:style w:type="paragraph" w:styleId="IntenseQuote">
    <w:name w:val="Intense Quote"/>
    <w:basedOn w:val="Normal"/>
    <w:next w:val="Normal"/>
    <w:link w:val="IntenseQuoteChar"/>
    <w:uiPriority w:val="30"/>
    <w:qFormat/>
    <w:rsid w:val="00955A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55ABD"/>
    <w:rPr>
      <w:i/>
      <w:iCs/>
      <w:color w:val="0F4761" w:themeColor="accent1" w:themeShade="BF"/>
    </w:rPr>
  </w:style>
  <w:style w:type="character" w:styleId="IntenseReference">
    <w:name w:val="Intense Reference"/>
    <w:basedOn w:val="DefaultParagraphFont"/>
    <w:uiPriority w:val="32"/>
    <w:qFormat/>
    <w:rsid w:val="00955ABD"/>
    <w:rPr>
      <w:b/>
      <w:bCs/>
      <w:smallCaps/>
      <w:color w:val="0F4761" w:themeColor="accent1" w:themeShade="BF"/>
      <w:spacing w:val="5"/>
    </w:rPr>
  </w:style>
  <w:style w:type="character" w:styleId="Hyperlink">
    <w:name w:val="Hyperlink"/>
    <w:basedOn w:val="DefaultParagraphFont"/>
    <w:uiPriority w:val="99"/>
    <w:unhideWhenUsed/>
    <w:rsid w:val="00955ABD"/>
    <w:rPr>
      <w:color w:val="467886" w:themeColor="hyperlink"/>
      <w:u w:val="single"/>
    </w:rPr>
  </w:style>
  <w:style w:type="character" w:styleId="UnresolvedMention">
    <w:name w:val="Unresolved Mention"/>
    <w:basedOn w:val="DefaultParagraphFont"/>
    <w:uiPriority w:val="99"/>
    <w:semiHidden/>
    <w:unhideWhenUsed/>
    <w:rsid w:val="00955AB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403991742">
      <w:bodyDiv w:val="1"/>
      <w:marLeft w:val="0"/>
      <w:marRight w:val="0"/>
      <w:marTop w:val="0"/>
      <w:marBottom w:val="0"/>
      <w:divBdr>
        <w:top w:val="none" w:sz="0" w:space="0" w:color="auto"/>
        <w:left w:val="none" w:sz="0" w:space="0" w:color="auto"/>
        <w:bottom w:val="none" w:sz="0" w:space="0" w:color="auto"/>
        <w:right w:val="none" w:sz="0" w:space="0" w:color="auto"/>
      </w:divBdr>
    </w:div>
    <w:div w:id="1091049713">
      <w:bodyDiv w:val="1"/>
      <w:marLeft w:val="0"/>
      <w:marRight w:val="0"/>
      <w:marTop w:val="0"/>
      <w:marBottom w:val="0"/>
      <w:divBdr>
        <w:top w:val="none" w:sz="0" w:space="0" w:color="auto"/>
        <w:left w:val="none" w:sz="0" w:space="0" w:color="auto"/>
        <w:bottom w:val="none" w:sz="0" w:space="0" w:color="auto"/>
        <w:right w:val="none" w:sz="0" w:space="0" w:color="auto"/>
      </w:divBdr>
    </w:div>
    <w:div w:id="1373726294">
      <w:bodyDiv w:val="1"/>
      <w:marLeft w:val="0"/>
      <w:marRight w:val="0"/>
      <w:marTop w:val="0"/>
      <w:marBottom w:val="0"/>
      <w:divBdr>
        <w:top w:val="none" w:sz="0" w:space="0" w:color="auto"/>
        <w:left w:val="none" w:sz="0" w:space="0" w:color="auto"/>
        <w:bottom w:val="none" w:sz="0" w:space="0" w:color="auto"/>
        <w:right w:val="none" w:sz="0" w:space="0" w:color="auto"/>
      </w:divBdr>
    </w:div>
    <w:div w:id="210163958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mida.gov.my/mida-news/rafizi-malaysia-making-big-strides-in-enhancing-semiconductor-design-capabilities/" TargetMode="External"/><Relationship Id="rId13" Type="http://schemas.openxmlformats.org/officeDocument/2006/relationships/hyperlink" Target="https://theedgemalaysia.com/node/725300" TargetMode="External"/><Relationship Id="rId3" Type="http://schemas.openxmlformats.org/officeDocument/2006/relationships/webSettings" Target="webSettings.xml"/><Relationship Id="rId7" Type="http://schemas.openxmlformats.org/officeDocument/2006/relationships/hyperlink" Target="https://www.businesstoday.com.my/2025/03/05/arm-partnership-will-see-training-of-10000-ic-design-engineers/" TargetMode="External"/><Relationship Id="rId12" Type="http://schemas.openxmlformats.org/officeDocument/2006/relationships/hyperlink" Target="https://www.mida.gov.my/mida-news/malaysias-final-push-to-support-its-semiconductor-dreams/" TargetMode="Externa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yperlink" Target="https://www.mida.gov.my/media-release/mida-and-arm-limited-forge-agreement-to-boost-malaysias-semiconductor-industry/" TargetMode="External"/><Relationship Id="rId11" Type="http://schemas.openxmlformats.org/officeDocument/2006/relationships/hyperlink" Target="https://www.vitrox.edu.my/post/discussion-of-the-academy-in-industry-aii-programs-for-semiconductor-companies-in-penang" TargetMode="External"/><Relationship Id="rId5" Type="http://schemas.openxmlformats.org/officeDocument/2006/relationships/hyperlink" Target="https://www.mida.gov.my/media-release/mida-and-arm-limited-forge-agreement-to-boost-malaysias-semiconductor-industry/" TargetMode="External"/><Relationship Id="rId15" Type="http://schemas.openxmlformats.org/officeDocument/2006/relationships/theme" Target="theme/theme1.xml"/><Relationship Id="rId10" Type="http://schemas.openxmlformats.org/officeDocument/2006/relationships/hyperlink" Target="https://www.ijhrdppr.com/training-incentives-for-malaysian-smes-an-impact-evaluation-corporate-strategy-and-insights-department-pembangunan-sumber-manusia-berhad/" TargetMode="External"/><Relationship Id="rId4" Type="http://schemas.openxmlformats.org/officeDocument/2006/relationships/hyperlink" Target="https://theedgemalaysia.com/node/720006" TargetMode="External"/><Relationship Id="rId9" Type="http://schemas.openxmlformats.org/officeDocument/2006/relationships/hyperlink" Target="https://www.tvet.gov.my/index.php/awam-kursus/kursus?id_kursus=670" TargetMode="Externa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95</TotalTime>
  <Pages>3</Pages>
  <Words>993</Words>
  <Characters>5662</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Amirun Fadzli</dc:creator>
  <cp:keywords/>
  <dc:description/>
  <cp:lastModifiedBy>Amirun Fadzli</cp:lastModifiedBy>
  <cp:revision>1</cp:revision>
  <dcterms:created xsi:type="dcterms:W3CDTF">2025-03-09T06:10:00Z</dcterms:created>
  <dcterms:modified xsi:type="dcterms:W3CDTF">2025-03-09T07:45:00Z</dcterms:modified>
</cp:coreProperties>
</file>