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Техническое задание на систему RAG Parser</w:t>
      </w:r>
    </w:p>
    <w:p>
      <w:r>
        <w:t>Документ описывает требования к сервису парсинга документов и используется как эталон для проверки извлечения структуры.</w:t>
      </w:r>
    </w:p>
    <w:p>
      <w:r>
        <w:t>Вторая глава содержит списки, а третья — таблицы с объединёнными ячейками и вложенными списками.</w:t>
      </w:r>
    </w:p>
    <w:p>
      <w:pPr>
        <w:pStyle w:val="Heading2"/>
      </w:pPr>
      <w:r>
        <w:t>1. Общие сведения</w:t>
      </w:r>
    </w:p>
    <w:p>
      <w:r>
        <w:t>Сервис принимает файл, конвертирует его в Markdown и возвращает структурированный ответ. Поддерживаются форматы PDF, DOCX, XLSX, HTML, TXT, MD и CSV.</w:t>
      </w:r>
    </w:p>
    <w:p>
      <w:pPr>
        <w:pStyle w:val="ListBullet"/>
      </w:pPr>
      <w:r>
        <w:t>Требования к функциональности</w:t>
      </w:r>
    </w:p>
    <w:p>
      <w:pPr>
        <w:pStyle w:val="ListBullet2"/>
      </w:pPr>
      <w:r>
        <w:t>Разбор структуры документа</w:t>
      </w:r>
    </w:p>
    <w:p>
      <w:pPr>
        <w:pStyle w:val="ListBullet2"/>
      </w:pPr>
      <w:r>
        <w:t>Заголовки H1-H3</w:t>
      </w:r>
    </w:p>
    <w:p>
      <w:pPr>
        <w:pStyle w:val="ListBullet3"/>
      </w:pPr>
      <w:r>
        <w:t>Абзацы и списки</w:t>
      </w:r>
    </w:p>
    <w:p>
      <w:pPr>
        <w:pStyle w:val="ListBullet2"/>
      </w:pPr>
      <w:r>
        <w:t>Таблицы с сохранением заголовков</w:t>
      </w:r>
    </w:p>
    <w:p>
      <w:pPr>
        <w:pStyle w:val="ListBullet"/>
      </w:pPr>
      <w:r>
        <w:t>Требования к производительности</w:t>
      </w:r>
    </w:p>
    <w:p>
      <w:pPr>
        <w:pStyle w:val="ListBullet2"/>
      </w:pPr>
      <w:r>
        <w:t>Холодный старт не более 5 секунд</w:t>
      </w:r>
    </w:p>
    <w:p>
      <w:pPr>
        <w:pStyle w:val="ListBullet2"/>
      </w:pPr>
      <w:r>
        <w:t>Память не более 2 ГБ</w:t>
      </w:r>
    </w:p>
    <w:p>
      <w:pPr>
        <w:pStyle w:val="Heading3"/>
      </w:pPr>
      <w:r>
        <w:t>1.1 Ограничения</w:t>
      </w:r>
    </w:p>
    <w:p>
      <w:r>
        <w:t>Сканированные PDF без текстового слоя не обрабатываются: OCR используется только в сторонних сервисах.</w:t>
      </w:r>
    </w:p>
    <w:p>
      <w:pPr>
        <w:pStyle w:val="ListNumber"/>
      </w:pPr>
      <w:r>
        <w:t>Этапы приёмки</w:t>
      </w:r>
    </w:p>
    <w:p>
      <w:pPr>
        <w:pStyle w:val="ListNumber2"/>
      </w:pPr>
      <w:r>
        <w:t>Установка зависимостей</w:t>
      </w:r>
    </w:p>
    <w:p>
      <w:pPr>
        <w:pStyle w:val="ListNumber2"/>
      </w:pPr>
      <w:r>
        <w:t>Создание виртуального окружения</w:t>
      </w:r>
    </w:p>
    <w:p>
      <w:pPr>
        <w:pStyle w:val="ListNumber3"/>
      </w:pPr>
      <w:r>
        <w:t>Установка пакетов из requirements.txt</w:t>
      </w:r>
    </w:p>
    <w:p>
      <w:pPr>
        <w:pStyle w:val="ListNumber2"/>
      </w:pPr>
      <w:r>
        <w:t>Запуск тестов</w:t>
      </w:r>
    </w:p>
    <w:p>
      <w:pPr>
        <w:pStyle w:val="ListNumber"/>
      </w:pPr>
      <w:r>
        <w:t>Подготовка выгрузки</w:t>
      </w:r>
    </w:p>
    <w:p>
      <w:r>
        <w:br w:type="page"/>
      </w:r>
    </w:p>
    <w:p>
      <w:pPr>
        <w:pStyle w:val="Heading2"/>
      </w:pPr>
      <w:r>
        <w:t>2. Спецификация чанкинга</w:t>
      </w:r>
    </w:p>
    <w:p>
      <w:r>
        <w:t>Каждый тип чанкинга реализует свой алгоритм разбиения текста на фрагменты фиксированного размера.</w:t>
      </w:r>
    </w:p>
    <w:p>
      <w:pPr>
        <w:pStyle w:val="ListBullet"/>
      </w:pPr>
      <w:r>
        <w:t>Рекурсивный чанкинг</w:t>
      </w:r>
    </w:p>
    <w:p>
      <w:pPr>
        <w:pStyle w:val="ListBullet2"/>
      </w:pPr>
      <w:r>
        <w:t>Разделители: абзацы, строки, предложения, слова</w:t>
      </w:r>
    </w:p>
    <w:p>
      <w:pPr>
        <w:pStyle w:val="ListBullet2"/>
      </w:pPr>
      <w:r>
        <w:t>Перекрытие реализуется поверх chonkie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Merge w:val="restart"/>
          </w:tcPr>
          <w:p>
            <w:r>
              <w:t>Метрика</w:t>
            </w:r>
          </w:p>
        </w:tc>
        <w:tc>
          <w:tcPr>
            <w:tcW w:type="dxa" w:w="4320"/>
            <w:gridSpan w:val="2"/>
          </w:tcPr>
          <w:p>
            <w:r>
              <w:t>Значение</w:t>
            </w:r>
          </w:p>
        </w:tc>
        <w:tc>
          <w:tcPr>
            <w:tcW w:type="dxa" w:w="2160"/>
            <w:vMerge w:val="restart"/>
          </w:tcPr>
          <w:p>
            <w:r>
              <w:t>Комментарий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мин.</w:t>
            </w:r>
          </w:p>
        </w:tc>
        <w:tc>
          <w:tcPr>
            <w:tcW w:type="dxa" w:w="2160"/>
          </w:tcPr>
          <w:p>
            <w:r>
              <w:t>макс.</w:t>
            </w:r>
          </w:p>
        </w:tc>
        <w:tc>
          <w:tcPr>
            <w:tcW w:type="dxa" w:w="2160"/>
            <w:vMerge/>
          </w:tcPr>
          <w:p/>
        </w:tc>
      </w:tr>
      <w:tr>
        <w:tc>
          <w:tcPr>
            <w:tcW w:type="dxa" w:w="2160"/>
          </w:tcPr>
          <w:p>
            <w:r>
              <w:t>Размер чанка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2000</w:t>
            </w:r>
          </w:p>
        </w:tc>
        <w:tc>
          <w:tcPr>
            <w:tcW w:type="dxa" w:w="2160"/>
          </w:tcPr>
          <w:p>
            <w:r>
              <w:t>Токенов cl100k_base</w:t>
            </w:r>
          </w:p>
        </w:tc>
      </w:tr>
      <w:tr>
        <w:tc>
          <w:tcPr>
            <w:tcW w:type="dxa" w:w="2160"/>
          </w:tcPr>
          <w:p>
            <w:r>
              <w:t>Перекрытие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Меньше размера чанка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Формат</w:t>
            </w:r>
          </w:p>
        </w:tc>
        <w:tc>
          <w:tcPr>
            <w:tcW w:type="dxa" w:w="2880"/>
          </w:tcPr>
          <w:p>
            <w:r>
              <w:t>Парсер</w:t>
            </w:r>
          </w:p>
        </w:tc>
        <w:tc>
          <w:tcPr>
            <w:tcW w:type="dxa" w:w="2880"/>
          </w:tcPr>
          <w:p>
            <w:r>
              <w:t>Особенности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MarkItDownParser</w:t>
            </w:r>
          </w:p>
        </w:tc>
        <w:tc>
          <w:tcPr>
            <w:tcW w:type="dxa" w:w="2880"/>
          </w:tcPr>
          <w:p>
            <w:r>
              <w:t>Структура</w:t>
            </w:r>
          </w:p>
          <w:p>
            <w:pPr>
              <w:pStyle w:val="ListBullet"/>
            </w:pPr>
            <w:r>
              <w:t>Заголовки</w:t>
            </w:r>
          </w:p>
          <w:p>
            <w:pPr>
              <w:pStyle w:val="ListBullet"/>
            </w:pPr>
            <w:r>
              <w:t>Таблицы</w:t>
            </w:r>
          </w:p>
        </w:tc>
      </w:tr>
      <w:tr>
        <w:tc>
          <w:tcPr>
            <w:tcW w:type="dxa" w:w="2880"/>
            <w:vMerge w:val="restart"/>
          </w:tcPr>
          <w:p>
            <w:r>
              <w:t>Все форматы</w:t>
            </w:r>
          </w:p>
        </w:tc>
        <w:tc>
          <w:tcPr>
            <w:tcW w:type="dxa" w:w="2880"/>
          </w:tcPr>
          <w:p>
            <w:r>
              <w:t>XlsxParser</w:t>
            </w:r>
          </w:p>
        </w:tc>
        <w:tc>
          <w:tcPr>
            <w:tcW w:type="dxa" w:w="2880"/>
          </w:tcPr>
          <w:p>
            <w:r>
              <w:t>Объединённые ячейки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CsvParser</w:t>
            </w:r>
          </w:p>
        </w:tc>
        <w:tc>
          <w:tcPr>
            <w:tcW w:type="dxa" w:w="2880"/>
          </w:tcPr>
          <w:p>
            <w:r>
              <w:t>Автодетект разделителя</w:t>
            </w:r>
          </w:p>
        </w:tc>
      </w:tr>
    </w:tbl>
    <w:p>
      <w:pPr>
        <w:pStyle w:val="Heading3"/>
      </w:pPr>
      <w:r>
        <w:t>2.1 Метрики качества</w:t>
      </w:r>
    </w:p>
    <w:p>
      <w:pPr>
        <w:pStyle w:val="ListNumber"/>
      </w:pPr>
      <w:r>
        <w:t>Полнота извлечения заголовков</w:t>
      </w:r>
    </w:p>
    <w:p>
      <w:pPr>
        <w:pStyle w:val="ListNumber2"/>
      </w:pPr>
      <w:r>
        <w:t>Корректность Markdown-таблиц</w:t>
      </w:r>
    </w:p>
    <w:p>
      <w:pPr>
        <w:pStyle w:val="ListNumber2"/>
      </w:pPr>
      <w:r>
        <w:t>Проверка числа строк и столбцов</w:t>
      </w:r>
    </w:p>
    <w:p>
      <w:r>
        <w:br w:type="page"/>
      </w:r>
    </w:p>
    <w:p>
      <w:pPr>
        <w:pStyle w:val="Heading2"/>
      </w:pPr>
      <w:r>
        <w:t>3. Примеры запросов</w:t>
      </w:r>
    </w:p>
    <w:p>
      <w:r>
        <w:t>Пример запуска API в фоне с сохранением результатов парсинга.</w:t>
      </w:r>
    </w:p>
    <w:p>
      <w:r>
        <w:rPr>
          <w:rFonts w:ascii="Courier New" w:hAnsi="Courier New"/>
        </w:rPr>
        <w:t>curl -X POST http://localhost:8000/api/parse_dedoc -F "file=@complex_structured.docx"</w:t>
      </w:r>
    </w:p>
    <w:p>
      <w:pPr>
        <w:pStyle w:val="Heading3"/>
      </w:pPr>
      <w:r>
        <w:t>3.1 Ограничения версии 1.0</w:t>
      </w:r>
    </w:p>
    <w:p>
      <w:pPr>
        <w:pStyle w:val="ListBullet"/>
      </w:pPr>
      <w:r>
        <w:t>Хранилище результатов — в памяти процесса</w:t>
      </w:r>
    </w:p>
    <w:p>
      <w:pPr>
        <w:pStyle w:val="ListBullet2"/>
      </w:pPr>
      <w:r>
        <w:t>LRU на 64 документа</w:t>
      </w:r>
    </w:p>
    <w:p>
      <w:pPr>
        <w:pStyle w:val="ListBullet2"/>
      </w:pPr>
      <w:r>
        <w:t>Не переживает перезапуск процесса</w:t>
      </w:r>
    </w:p>
    <w:p>
      <w:pPr>
        <w:pStyle w:val="ListBullet"/>
      </w:pPr>
      <w:r>
        <w:t>Аутентификация не реализована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