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77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</w:t>
            </w:r>
            <w:bookmarkStart w:id="2" w:name="_GoBack"/>
            <w:bookmarkEnd w:id="2"/>
            <w:r>
              <w:rPr>
                <w:sz w:val="24"/>
              </w:rPr>
              <w:t>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7436">
              <w:rPr>
                <w:sz w:val="24"/>
              </w:rPr>
              <w:t>2</w:t>
            </w:r>
            <w:r w:rsidR="00E42970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556BC9" w:rsidP="008C6E07">
      <w:pPr>
        <w:pStyle w:val="af"/>
        <w:spacing w:before="100" w:beforeAutospacing="1"/>
        <w:ind w:firstLine="0"/>
        <w:jc w:val="center"/>
      </w:pPr>
      <w:r w:rsidRPr="00556BC9">
        <w:lastRenderedPageBreak/>
        <w:t>СОДЕРЖАНИЕ</w:t>
      </w:r>
    </w:p>
    <w:sdt>
      <w:sdtPr>
        <w:id w:val="-10625591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Pr="00C144BF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Pr="00C144BF">
              <w:rPr>
                <w:rStyle w:val="ab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Pr="00C144BF">
              <w:rPr>
                <w:rStyle w:val="ab"/>
                <w:noProof/>
              </w:rPr>
              <w:t>1.1 Постановка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Pr="00C144BF">
              <w:rPr>
                <w:rStyle w:val="ab"/>
                <w:noProof/>
              </w:rPr>
              <w:t>1.2 Уточнение требований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Pr="00C144BF">
              <w:rPr>
                <w:rStyle w:val="ab"/>
                <w:noProof/>
              </w:rPr>
              <w:t>1.2.1 Типы лицензий ПО и их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Pr="00C144BF">
              <w:rPr>
                <w:rStyle w:val="ab"/>
                <w:noProof/>
              </w:rPr>
              <w:t>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Pr="00C144BF">
              <w:rPr>
                <w:rStyle w:val="ab"/>
                <w:noProof/>
              </w:rPr>
              <w:t>2.1 Аналог архитектуры.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Pr="00C144BF">
              <w:rPr>
                <w:rStyle w:val="ab"/>
                <w:noProof/>
              </w:rPr>
              <w:t>2.2 Аналог платформы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Pr="00C144BF">
              <w:rPr>
                <w:rStyle w:val="ab"/>
                <w:noProof/>
              </w:rPr>
              <w:t>2.3 Выбор среды виртуализации.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Pr="00C144BF">
              <w:rPr>
                <w:rStyle w:val="ab"/>
                <w:noProof/>
              </w:rPr>
              <w:t>2.4 Выбор платформы передачи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Pr="00C144BF">
              <w:rPr>
                <w:rStyle w:val="ab"/>
                <w:noProof/>
              </w:rPr>
              <w:t>2.4.1 Amazon SQS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Pr="00C144BF">
              <w:rPr>
                <w:rStyle w:val="ab"/>
                <w:noProof/>
              </w:rPr>
              <w:t>2.4.2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Pr="00C144BF">
              <w:rPr>
                <w:rStyle w:val="ab"/>
                <w:noProof/>
              </w:rPr>
              <w:t>2.4.3 Сравнение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Pr="00C144BF">
              <w:rPr>
                <w:rStyle w:val="ab"/>
                <w:noProof/>
                <w:lang w:val="en-US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Pr="00C144BF">
              <w:rPr>
                <w:rStyle w:val="ab"/>
                <w:noProof/>
              </w:rPr>
              <w:t>3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Pr="00C144BF">
              <w:rPr>
                <w:rStyle w:val="ab"/>
                <w:noProof/>
              </w:rPr>
              <w:t>3.1.1 Visual Studio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Pr="00C144BF">
              <w:rPr>
                <w:rStyle w:val="ab"/>
                <w:noProof/>
              </w:rPr>
              <w:t>3.1.2 ReSharper Ultimate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Pr="00C144BF">
              <w:rPr>
                <w:rStyle w:val="ab"/>
                <w:noProof/>
              </w:rPr>
              <w:t>3.1.3 Source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Pr="00C144BF">
              <w:rPr>
                <w:rStyle w:val="ab"/>
                <w:noProof/>
              </w:rPr>
              <w:t>3.1.4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Pr="00C144BF">
              <w:rPr>
                <w:rStyle w:val="ab"/>
                <w:noProof/>
              </w:rPr>
              <w:t>3.2 Обзор модульной системы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Pr="00C144BF">
              <w:rPr>
                <w:rStyle w:val="ab"/>
                <w:noProof/>
              </w:rPr>
              <w:t>алгоритмов</w:t>
            </w:r>
            <w:r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Pr="00C144BF">
              <w:rPr>
                <w:rStyle w:val="ab"/>
                <w:noProof/>
              </w:rPr>
              <w:t>3.3.1 Обобщенный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Pr="00C144BF">
              <w:rPr>
                <w:rStyle w:val="ab"/>
                <w:noProof/>
              </w:rPr>
              <w:t>3.3.2 Описание генерации динамических 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Pr="00C144BF">
              <w:rPr>
                <w:rStyle w:val="ab"/>
                <w:noProof/>
              </w:rPr>
              <w:t>4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Pr="00C144BF">
              <w:rPr>
                <w:rStyle w:val="ab"/>
                <w:noProof/>
              </w:rPr>
              <w:t>4.1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Pr="00C144BF">
              <w:rPr>
                <w:rStyle w:val="ab"/>
                <w:noProof/>
              </w:rPr>
              <w:t>4.2 Интеграционные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Pr="00C144BF">
              <w:rPr>
                <w:rStyle w:val="ab"/>
                <w:noProof/>
              </w:rPr>
              <w:t>4.3. Нагрузочные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Pr="00C144BF">
              <w:rPr>
                <w:rStyle w:val="ab"/>
                <w:noProof/>
              </w:rPr>
              <w:t>5 ТЕХНИКО–ЭКОНОМИЧЕСКОЕ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Pr="00C144BF">
              <w:rPr>
                <w:rStyle w:val="ab"/>
                <w:noProof/>
              </w:rPr>
              <w:t>5.1 Введение и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Pr="00C144BF">
              <w:rPr>
                <w:rStyle w:val="ab"/>
                <w:noProof/>
              </w:rPr>
              <w:t>5.3. Расчет нормативной трудоёмкости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Pr="00C144BF">
              <w:rPr>
                <w:rStyle w:val="ab"/>
                <w:noProof/>
              </w:rPr>
              <w:t>5.5. Расчет капитальных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Pr="00C144BF">
              <w:rPr>
                <w:rStyle w:val="ab"/>
                <w:noProof/>
              </w:rPr>
              <w:t>5.6. Расчёт экономического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Pr="00C144B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Pr="00C144BF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Pr="00C144BF">
              <w:rPr>
                <w:rStyle w:val="ab"/>
                <w:noProof/>
              </w:rPr>
              <w:t>ПРИЛОЖЕНИЕ А</w:t>
            </w:r>
            <w:r>
              <w:rPr>
                <w:rStyle w:val="ab"/>
                <w:noProof/>
              </w:rPr>
              <w:t xml:space="preserve"> </w:t>
            </w:r>
            <w:r w:rsidRPr="00E60613">
              <w:rPr>
                <w:rStyle w:val="ab"/>
                <w:noProof/>
              </w:rPr>
              <w:t>(обязательное)</w:t>
            </w:r>
            <w:r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460D2F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3" w:name="_Toc515363845"/>
      <w:r w:rsidRPr="00CB0192">
        <w:lastRenderedPageBreak/>
        <w:t>В</w:t>
      </w:r>
      <w:r w:rsidR="00CB0192">
        <w:t>ВЕДЕНИЕ</w:t>
      </w:r>
      <w:bookmarkEnd w:id="3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4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4"/>
    </w:p>
    <w:p w:rsidR="00230B16" w:rsidRPr="00F960B6" w:rsidRDefault="00C2791B" w:rsidP="00F960B6">
      <w:pPr>
        <w:pStyle w:val="af1"/>
      </w:pPr>
      <w:bookmarkStart w:id="5" w:name="_Toc515363847"/>
      <w:r>
        <w:t xml:space="preserve">1.1 </w:t>
      </w:r>
      <w:r w:rsidR="007331D6">
        <w:t>Постановка цели разработки</w:t>
      </w:r>
      <w:bookmarkEnd w:id="5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</w:t>
      </w:r>
      <w:r w:rsidR="00C9258D">
        <w:fldChar w:fldCharType="end"/>
      </w:r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платформа, реализующая систему обмена </w:t>
      </w:r>
      <w:proofErr w:type="gramStart"/>
      <w:r w:rsidRPr="00E74EE2">
        <w:rPr>
          <w:rFonts w:cs="Times New Roman"/>
          <w:shd w:val="clear" w:color="auto" w:fill="FFFFFF"/>
        </w:rPr>
        <w:t>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>ниями</w:t>
      </w:r>
      <w:proofErr w:type="gramEnd"/>
      <w:r w:rsidRPr="00E74EE2">
        <w:rPr>
          <w:rFonts w:cs="Times New Roman"/>
          <w:shd w:val="clear" w:color="auto" w:fill="FFFFFF"/>
        </w:rPr>
        <w:t xml:space="preserve">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2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3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6" w:name="_Toc515363848"/>
      <w:r>
        <w:t>1.2</w:t>
      </w:r>
      <w:r w:rsidR="00E704AC">
        <w:t xml:space="preserve"> Уточнение требований разработки</w:t>
      </w:r>
      <w:bookmarkEnd w:id="6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7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7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4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5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8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8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9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9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10" w:name="_Toc515363852"/>
      <w:r>
        <w:t xml:space="preserve">2.1 </w:t>
      </w:r>
      <w:r w:rsidR="00CD6B52">
        <w:t>Аналог архитектуры.</w:t>
      </w:r>
      <w:bookmarkEnd w:id="10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1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1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2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2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3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3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4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4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5" w:name="_Toc515363857"/>
      <w:r w:rsidRPr="00B87064">
        <w:rPr>
          <w:lang w:val="ru-RU"/>
        </w:rPr>
        <w:t xml:space="preserve">2.4.2 </w:t>
      </w:r>
      <w:r>
        <w:t>RabbitMQ</w:t>
      </w:r>
      <w:bookmarkEnd w:id="15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6" w:name="_Toc515363858"/>
      <w:r w:rsidRPr="00AB63AE">
        <w:rPr>
          <w:lang w:val="ru-RU"/>
        </w:rPr>
        <w:t>2.4.3 Сравнение производительности.</w:t>
      </w:r>
      <w:bookmarkEnd w:id="16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6</w:t>
      </w:r>
      <w:r w:rsidR="00C9258D"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7</w:t>
      </w:r>
      <w:r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7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7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8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8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9" w:name="_Toc515363861"/>
      <w:r w:rsidR="004D3D14">
        <w:t>Инструментарий разработки программного продукта.</w:t>
      </w:r>
      <w:bookmarkEnd w:id="19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20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20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8</w:t>
      </w:r>
      <w:r>
        <w:fldChar w:fldCharType="end"/>
      </w:r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1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1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2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2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9</w:t>
      </w:r>
      <w:r>
        <w:fldChar w:fldCharType="end"/>
      </w:r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3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3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10</w:t>
      </w:r>
      <w:r>
        <w:fldChar w:fldCharType="end"/>
      </w:r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4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4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7E172C" w:rsidRDefault="00137040" w:rsidP="009F108E">
      <w:pPr>
        <w:pStyle w:val="ac"/>
        <w:numPr>
          <w:ilvl w:val="0"/>
          <w:numId w:val="10"/>
        </w:numPr>
        <w:ind w:left="0" w:firstLine="680"/>
        <w:rPr>
          <w:lang w:val="en-US"/>
        </w:rPr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137040" w:rsidRPr="007E172C">
        <w:rPr>
          <w:color w:val="000000"/>
          <w:lang w:val="en-US"/>
        </w:rPr>
        <w:t xml:space="preserve"> </w:t>
      </w:r>
      <w:proofErr w:type="gramStart"/>
      <w:r w:rsidR="00137040" w:rsidRPr="007E172C">
        <w:rPr>
          <w:lang w:val="en-US"/>
        </w:rPr>
        <w:t>public</w:t>
      </w:r>
      <w:proofErr w:type="gramEnd"/>
      <w:r w:rsidR="00137040" w:rsidRPr="007E172C">
        <w:rPr>
          <w:lang w:val="en-US"/>
        </w:rPr>
        <w:t xml:space="preserve">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</w:t>
      </w:r>
      <w:proofErr w:type="gramStart"/>
      <w:r w:rsidRPr="00B87064">
        <w:rPr>
          <w:lang w:val="en-US"/>
        </w:rPr>
        <w:t>{ get</w:t>
      </w:r>
      <w:proofErr w:type="gramEnd"/>
      <w:r w:rsidRPr="00B87064">
        <w:rPr>
          <w:lang w:val="en-US"/>
        </w:rPr>
        <w:t>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proofErr w:type="gramStart"/>
      <w:r w:rsidRPr="00B71EF0">
        <w:rPr>
          <w:color w:val="0000FF"/>
          <w:lang w:val="en-US"/>
        </w:rPr>
        <w:t>public</w:t>
      </w:r>
      <w:proofErr w:type="gramEnd"/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</w:t>
      </w:r>
      <w:proofErr w:type="gramStart"/>
      <w:r w:rsidRPr="00B71EF0">
        <w:rPr>
          <w:lang w:val="en-US"/>
        </w:rPr>
        <w:t>PublishAsync(</w:t>
      </w:r>
      <w:proofErr w:type="gramEnd"/>
      <w:r w:rsidRPr="00B71EF0">
        <w:rPr>
          <w:lang w:val="en-US"/>
        </w:rPr>
        <w:t xml:space="preserve">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</w:t>
      </w:r>
      <w:proofErr w:type="gramStart"/>
      <w:r w:rsidRPr="00B87064">
        <w:rPr>
          <w:lang w:val="en-US"/>
        </w:rPr>
        <w:t>OnStart(</w:t>
      </w:r>
      <w:proofErr w:type="gramEnd"/>
      <w:r w:rsidRPr="00B87064">
        <w:rPr>
          <w:lang w:val="en-US"/>
        </w:rPr>
        <w:t>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 xml:space="preserve">Task </w:t>
      </w:r>
      <w:proofErr w:type="gramStart"/>
      <w:r w:rsidRPr="00161A1A">
        <w:rPr>
          <w:lang w:val="en-US"/>
        </w:rPr>
        <w:t>OnSuspend(</w:t>
      </w:r>
      <w:proofErr w:type="gramEnd"/>
      <w:r w:rsidRPr="00161A1A">
        <w:rPr>
          <w:lang w:val="en-US"/>
        </w:rPr>
        <w:t>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proofErr w:type="gramStart"/>
      <w:r>
        <w:t xml:space="preserve">5  </w:t>
      </w:r>
      <w:r w:rsidR="00A823FC" w:rsidRPr="00DE4A22">
        <w:rPr>
          <w:lang w:val="en-US"/>
        </w:rPr>
        <w:t>MassTransit</w:t>
      </w:r>
      <w:proofErr w:type="gramEnd"/>
      <w:r w:rsidR="00A823FC" w:rsidRPr="00DE4A22">
        <w:t xml:space="preserve"> </w:t>
      </w:r>
      <w:r w:rsidR="00A823FC" w:rsidRPr="00DE4A22">
        <w:rPr>
          <w:lang w:val="en-US"/>
        </w:rPr>
        <w:t>Adapter</w:t>
      </w:r>
      <w:r w:rsidR="00A823FC" w:rsidRPr="00DE4A22">
        <w:t xml:space="preserve"> – </w:t>
      </w:r>
      <w:r w:rsidR="00A823FC">
        <w:t>модуль</w:t>
      </w:r>
      <w:r w:rsidR="00A823FC" w:rsidRPr="00DE4A22">
        <w:t xml:space="preserve"> </w:t>
      </w:r>
      <w:r w:rsidR="00A823FC">
        <w:t>который</w:t>
      </w:r>
      <w:r w:rsidR="00A823FC" w:rsidRPr="00DE4A22">
        <w:t xml:space="preserve"> </w:t>
      </w:r>
      <w:r w:rsidR="00A823FC">
        <w:t>содержит</w:t>
      </w:r>
      <w:r w:rsidR="00A823FC" w:rsidRPr="00DE4A22">
        <w:t xml:space="preserve"> </w:t>
      </w:r>
      <w:r w:rsidR="00A823FC">
        <w:t>общую</w:t>
      </w:r>
      <w:r w:rsidR="00A823FC" w:rsidRPr="00DE4A22">
        <w:t xml:space="preserve"> </w:t>
      </w:r>
      <w:r w:rsidR="00A823FC">
        <w:t>логику</w:t>
      </w:r>
      <w:r w:rsidR="00A823FC" w:rsidRPr="00DE4A22">
        <w:t xml:space="preserve"> </w:t>
      </w:r>
      <w:r w:rsidR="00A823FC">
        <w:t>передачи</w:t>
      </w:r>
      <w:r w:rsidR="00A823FC" w:rsidRPr="00DE4A22">
        <w:t xml:space="preserve"> </w:t>
      </w:r>
      <w:r w:rsidR="00A823FC">
        <w:t>сообщений</w:t>
      </w:r>
      <w:r w:rsidR="00A823FC" w:rsidRPr="00DE4A22">
        <w:t xml:space="preserve"> </w:t>
      </w:r>
      <w:r w:rsidR="00A823FC">
        <w:t>с</w:t>
      </w:r>
      <w:r w:rsidR="00A823FC" w:rsidRPr="00DE4A22">
        <w:t xml:space="preserve"> </w:t>
      </w:r>
      <w:r w:rsidR="00A823FC">
        <w:t>помощью</w:t>
      </w:r>
      <w:r w:rsidR="00A823FC" w:rsidRPr="00DE4A22">
        <w:t xml:space="preserve"> </w:t>
      </w:r>
      <w:r w:rsidR="00A823FC">
        <w:t>фреймворка</w:t>
      </w:r>
      <w:r w:rsidR="00A823FC" w:rsidRPr="00DE4A22">
        <w:t xml:space="preserve"> </w:t>
      </w:r>
      <w:r w:rsidR="00A823FC" w:rsidRPr="00DE4A22">
        <w:rPr>
          <w:lang w:val="en-US"/>
        </w:rPr>
        <w:t>MassTransit</w:t>
      </w:r>
      <w:r w:rsidR="00A823FC" w:rsidRPr="00DE4A22">
        <w:t xml:space="preserve"> </w:t>
      </w:r>
      <w:r w:rsidR="00A823FC">
        <w:t>и</w:t>
      </w:r>
      <w:r w:rsidR="00A823FC" w:rsidRPr="00DE4A22">
        <w:t xml:space="preserve"> </w:t>
      </w:r>
      <w:r w:rsidR="00A823FC">
        <w:t>платформы</w:t>
      </w:r>
      <w:r w:rsidR="00A823FC" w:rsidRPr="00DE4A22">
        <w:t xml:space="preserve"> </w:t>
      </w:r>
      <w:r w:rsidR="00A823FC" w:rsidRPr="00DE4A22">
        <w:rPr>
          <w:lang w:val="en-US"/>
        </w:rPr>
        <w:t>RabbitMQ</w:t>
      </w:r>
      <w:r w:rsidR="00A823FC" w:rsidRPr="00DE4A22"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</w:t>
      </w:r>
      <w:proofErr w:type="gramStart"/>
      <w:r w:rsidRPr="00B87064">
        <w:rPr>
          <w:lang w:val="en-US"/>
        </w:rPr>
        <w:t>&gt;(</w:t>
      </w:r>
      <w:proofErr w:type="gramEnd"/>
      <w:r w:rsidRPr="00B87064">
        <w:rPr>
          <w:lang w:val="en-US"/>
        </w:rPr>
        <w:t>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 xml:space="preserve">TypeStructure </w:t>
      </w:r>
      <w:proofErr w:type="gramStart"/>
      <w:r w:rsidR="00B71EF0" w:rsidRPr="00B87064">
        <w:rPr>
          <w:lang w:val="en-US"/>
        </w:rPr>
        <w:t>AnalyzeType(</w:t>
      </w:r>
      <w:proofErr w:type="gramEnd"/>
      <w:r w:rsidR="00B71EF0" w:rsidRPr="00B87064">
        <w:rPr>
          <w:lang w:val="en-US"/>
        </w:rPr>
        <w:t>Type type);</w:t>
      </w:r>
    </w:p>
    <w:p w:rsidR="00B71EF0" w:rsidRPr="00161A1A" w:rsidRDefault="00B71EF0" w:rsidP="00DE4A22">
      <w:pPr>
        <w:pStyle w:val="aff3"/>
        <w:ind w:left="284"/>
        <w:rPr>
          <w:lang w:val="en-US"/>
        </w:rPr>
      </w:pPr>
      <w:r w:rsidRPr="00161A1A">
        <w:rPr>
          <w:lang w:val="en-US"/>
        </w:rPr>
        <w:t>}</w:t>
      </w:r>
    </w:p>
    <w:p w:rsidR="00B71EF0" w:rsidRPr="00F715BF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proofErr w:type="gramStart"/>
      <w:r w:rsidRPr="00B87064">
        <w:rPr>
          <w:lang w:val="en-US"/>
        </w:rPr>
        <w:lastRenderedPageBreak/>
        <w:t>public</w:t>
      </w:r>
      <w:proofErr w:type="gramEnd"/>
      <w:r w:rsidRPr="00B87064">
        <w:rPr>
          <w:lang w:val="en-US"/>
        </w:rPr>
        <w:t xml:space="preserve">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 xml:space="preserve">return </w:t>
      </w:r>
      <w:proofErr w:type="gramStart"/>
      <w:r w:rsidRPr="0014164A">
        <w:t>result.Proxy</w:t>
      </w:r>
      <w:proofErr w:type="gramEnd"/>
      <w:r w:rsidRPr="0014164A">
        <w:t>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11</w:t>
      </w:r>
      <w:r w:rsidR="00C9258D">
        <w:fldChar w:fldCharType="end"/>
      </w:r>
      <w:r w:rsidR="00E56E5F">
        <w:t xml:space="preserve"> –</w:t>
      </w:r>
      <w:r w:rsidR="00DE4A22">
        <w:rPr>
          <w:lang w:val="en-US"/>
        </w:rPr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5" w:name="_Toc483786985"/>
      <w:bookmarkStart w:id="26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5"/>
      <w:bookmarkEnd w:id="26"/>
    </w:p>
    <w:p w:rsidR="006B656B" w:rsidRPr="00AB63AE" w:rsidRDefault="00E8569B" w:rsidP="006B42BE">
      <w:pPr>
        <w:pStyle w:val="22"/>
        <w:rPr>
          <w:lang w:val="ru-RU"/>
        </w:rPr>
      </w:pPr>
      <w:bookmarkStart w:id="27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7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12</w:t>
      </w:r>
      <w:r w:rsidR="00C9258D">
        <w:fldChar w:fldCharType="end"/>
      </w:r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8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8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9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9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30" w:name="_Toc515363871"/>
      <w:r>
        <w:t xml:space="preserve">4.1 </w:t>
      </w:r>
      <w:r w:rsidR="00884ACA">
        <w:t>Модульные тесты</w:t>
      </w:r>
      <w:bookmarkEnd w:id="30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1" w:name="_Toc515363872"/>
      <w:r>
        <w:t xml:space="preserve">4.2 </w:t>
      </w:r>
      <w:r w:rsidR="003E5D9C">
        <w:t>Интеграционные тесты</w:t>
      </w:r>
      <w:bookmarkEnd w:id="31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F45AB" w:rsidP="00FF45AB">
      <w:pPr>
        <w:pStyle w:val="af1"/>
      </w:pPr>
      <w:bookmarkStart w:id="32" w:name="_Toc515363873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2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 xml:space="preserve">, проверке корректной работы маршрутизации, и производятся замеры производительности. Если замеры производительности оказались ниже допустимого уровня инициируется процесс оптимизации, так как система в будущем призвана </w:t>
      </w:r>
      <w:r w:rsidR="00C94F04">
        <w:lastRenderedPageBreak/>
        <w:t>работать на системах с большими нагрузками и имеет повышенные требования к производительности.</w:t>
      </w:r>
    </w:p>
    <w:p w:rsidR="006442FF" w:rsidRDefault="004A3AFD" w:rsidP="00C94F04">
      <w:r>
        <w:t xml:space="preserve">(УБРАТЬ 2 СТРОЧКИИ) </w:t>
      </w:r>
    </w:p>
    <w:p w:rsidR="00F715BF" w:rsidRDefault="002E0CB7" w:rsidP="00E7794A">
      <w:pPr>
        <w:pStyle w:val="af"/>
      </w:pPr>
      <w:bookmarkStart w:id="33" w:name="_Toc484364138"/>
      <w:bookmarkStart w:id="34" w:name="_Toc515363874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4"/>
    </w:p>
    <w:p w:rsidR="006442FF" w:rsidRDefault="006442FF" w:rsidP="00CB4E12">
      <w:pPr>
        <w:pStyle w:val="af1"/>
      </w:pPr>
      <w:bookmarkStart w:id="35" w:name="_Toc515363875"/>
      <w:r>
        <w:t>5</w:t>
      </w:r>
      <w:r w:rsidRPr="007330EA">
        <w:t>.1 Введение и исходные данные</w:t>
      </w:r>
      <w:bookmarkEnd w:id="33"/>
      <w:bookmarkEnd w:id="35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6" w:name="_Toc484364139"/>
      <w:bookmarkStart w:id="37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6"/>
      <w:bookmarkEnd w:id="37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8681"/>
      </w:tblGrid>
      <w:tr w:rsidR="006442FF" w:rsidTr="003A7992">
        <w:tc>
          <w:tcPr>
            <w:tcW w:w="675" w:type="dxa"/>
          </w:tcPr>
          <w:p w:rsidR="006442FF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161A1A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161A1A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8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8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598"/>
        <w:gridCol w:w="6824"/>
        <w:gridCol w:w="1604"/>
        <w:gridCol w:w="328"/>
      </w:tblGrid>
      <w:tr w:rsidR="006442FF" w:rsidTr="007E728E">
        <w:trPr>
          <w:gridAfter w:val="1"/>
          <w:wAfter w:w="328" w:type="dxa"/>
        </w:trPr>
        <w:tc>
          <w:tcPr>
            <w:tcW w:w="7422" w:type="dxa"/>
            <w:gridSpan w:val="2"/>
          </w:tcPr>
          <w:p w:rsidR="006442FF" w:rsidRDefault="00161A1A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7E728E">
        <w:tc>
          <w:tcPr>
            <w:tcW w:w="598" w:type="dxa"/>
          </w:tcPr>
          <w:p w:rsidR="006442FF" w:rsidRPr="008C406A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161A1A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7E728E">
        <w:tc>
          <w:tcPr>
            <w:tcW w:w="598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161A1A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</m:t>
          </m: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161A1A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161A1A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161A1A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161A1A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161A1A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161A1A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161A1A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7E728E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161A1A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161A1A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6442FF">
      <w:pPr>
        <w:pStyle w:val="a"/>
        <w:jc w:val="both"/>
      </w:pPr>
      <w:r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3E14A6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3E14A6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9" w:name="_Toc515363878"/>
      <w:r>
        <w:t xml:space="preserve">5.4. </w:t>
      </w:r>
      <w:r w:rsidR="006442FF">
        <w:t>Расчет основной заработной платы исполнителей</w:t>
      </w:r>
      <w:bookmarkEnd w:id="39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161A1A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161A1A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c"/>
        <w:ind w:firstLine="708"/>
      </w:pPr>
    </w:p>
    <w:p w:rsidR="006442FF" w:rsidRPr="00F515BF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161A1A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6442FF" w:rsidRDefault="006442FF" w:rsidP="00F515BF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c"/>
        <w:ind w:firstLine="708"/>
      </w:pPr>
    </w:p>
    <w:p w:rsidR="006442FF" w:rsidRPr="002E2747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6442FF" w:rsidRPr="002F6652" w:rsidRDefault="00161A1A" w:rsidP="002F6652">
      <w:pPr>
        <w:pStyle w:val="a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2D60D6"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2D60D6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lastRenderedPageBreak/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680,45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3,87</w:t>
            </w:r>
          </w:p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161A1A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161A1A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161A1A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>*6=1.800 руб.</m:t>
              </m:r>
              <m:r>
                <m:t xml:space="preserve">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lastRenderedPageBreak/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</m:t>
                    </m:r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</m:t>
                </m:r>
                <m:r>
                  <m:t xml:space="preserve">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</m:t>
                </m:r>
                <m:r>
                  <m:t xml:space="preserve">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c"/>
      </w:pPr>
    </w:p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AF699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AF699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lastRenderedPageBreak/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  <w:tr w:rsidR="006442FF" w:rsidRPr="00C223BD" w:rsidTr="00AF699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 w:rsidR="00165988"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6442FF" w:rsidRPr="00C223BD" w:rsidTr="00AF699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BC1A44">
            <w:pPr>
              <w:pStyle w:val="aff"/>
            </w:pPr>
            <w:r w:rsidRPr="00C223BD">
              <w:t xml:space="preserve">Время простоя сервиса, обусловленное </w:t>
            </w:r>
            <w:r w:rsidR="00165988"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мин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BC1A44" w:rsidRPr="00C223BD" w:rsidTr="00AF699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 xml:space="preserve">Стоимость </w:t>
            </w:r>
            <w:r w:rsidR="00165988"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BC1A44" w:rsidRPr="00C223BD" w:rsidTr="00AF699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Расчетные</w:t>
            </w:r>
          </w:p>
          <w:p w:rsidR="00BC1A44" w:rsidRPr="00C223BD" w:rsidRDefault="00BC1A44" w:rsidP="00BC1A44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963F12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lastRenderedPageBreak/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lastRenderedPageBreak/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</w:t>
            </w:r>
            <w:r>
              <w:t xml:space="preserve">язанных с использованием нового </w:t>
            </w:r>
            <w:r>
              <w:t>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1"/>
    </w:p>
    <w:p w:rsidR="006442FF" w:rsidRDefault="006442FF" w:rsidP="006442FF">
      <w:pPr>
        <w:pStyle w:val="afc"/>
        <w:ind w:firstLine="708"/>
      </w:pPr>
      <w:r>
        <w:t xml:space="preserve">Для пользователя в качестве экономического эффекта выступает лишь чистая прибыль – дополнительная прибыли, которая остаётся в его </w:t>
      </w:r>
      <w:r>
        <w:lastRenderedPageBreak/>
        <w:t>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</m:t>
                </m:r>
                <m:r>
                  <m:t>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proofErr w:type="gramStart"/>
            <w:r w:rsidRPr="00C223BD">
              <w:t>Едини</w:t>
            </w:r>
            <w:r>
              <w:t>-</w:t>
            </w:r>
            <w:r w:rsidRPr="00C223BD">
              <w:t>цы</w:t>
            </w:r>
            <w:proofErr w:type="gramEnd"/>
          </w:p>
          <w:p w:rsidR="006442FF" w:rsidRPr="00C223BD" w:rsidRDefault="006442FF" w:rsidP="00BC1A44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lastRenderedPageBreak/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CC53B9" w:rsidRPr="00C223BD" w:rsidTr="002D60D6">
        <w:tc>
          <w:tcPr>
            <w:tcW w:w="2127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CC53B9" w:rsidRPr="00C223BD" w:rsidRDefault="00CC53B9" w:rsidP="00BC1A44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CC53B9" w:rsidRPr="005E6855" w:rsidRDefault="00CC53B9" w:rsidP="00BC1A44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CC53B9" w:rsidRPr="00C223BD" w:rsidTr="002D60D6">
        <w:tc>
          <w:tcPr>
            <w:tcW w:w="2127" w:type="dxa"/>
            <w:vAlign w:val="center"/>
          </w:tcPr>
          <w:p w:rsidR="00CC53B9" w:rsidRPr="00C223BD" w:rsidRDefault="00CC53B9" w:rsidP="00BC1A44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3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 xml:space="preserve">CLR via C#. Программирование на платформе Microsoft .NET Framework 4.0 на языке C#: отдельное издание / Джеффри </w:t>
      </w:r>
      <w:proofErr w:type="gramStart"/>
      <w:r w:rsidRPr="00B14E29">
        <w:t>Рихтер .</w:t>
      </w:r>
      <w:proofErr w:type="gramEnd"/>
      <w:r w:rsidRPr="00B14E29">
        <w:t xml:space="preserve">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8C6E07" w:rsidRDefault="00D04D4B" w:rsidP="00D04D4B">
      <w:pPr>
        <w:pStyle w:val="aff3"/>
        <w:rPr>
          <w:rFonts w:asciiTheme="minorHAnsi" w:eastAsia="Times New Roman" w:hAnsiTheme="minorHAnsi"/>
          <w:lang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eventNamespacesWithMessageClass.Add(</w:t>
      </w:r>
      <w:proofErr w:type="gramEnd"/>
      <w:r w:rsidRPr="00D04D4B">
        <w:rPr>
          <w:rFonts w:eastAsia="Times New Roman"/>
          <w:lang w:val="en-US" w:eastAsia="ru-RU"/>
        </w:rPr>
        <w:t>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eventsDeclarations.Add(</w:t>
      </w:r>
      <w:proofErr w:type="gramEnd"/>
      <w:r w:rsidRPr="00D04D4B">
        <w:rPr>
          <w:rFonts w:eastAsia="Times New Roman"/>
          <w:lang w:val="en-US" w:eastAsia="ru-RU"/>
        </w:rPr>
        <w:t>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eventsGetEventFromBackListenerMethods.Add(</w:t>
      </w:r>
      <w:proofErr w:type="gramEnd"/>
      <w:r w:rsidRPr="00D04D4B">
        <w:rPr>
          <w:rFonts w:eastAsia="Times New Roman"/>
          <w:lang w:val="en-US" w:eastAsia="ru-RU"/>
        </w:rPr>
        <w:t>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usings.Add(</w:t>
      </w:r>
      <w:proofErr w:type="gramEnd"/>
      <w:r w:rsidRPr="00D04D4B">
        <w:rPr>
          <w:rFonts w:eastAsia="Times New Roman"/>
          <w:lang w:val="en-US" w:eastAsia="ru-RU"/>
        </w:rPr>
        <w:t>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fields.AddRange(</w:t>
      </w:r>
      <w:proofErr w:type="gramEnd"/>
      <w:r w:rsidRPr="00D04D4B">
        <w:rPr>
          <w:rFonts w:eastAsia="Times New Roman"/>
          <w:lang w:val="en-US" w:eastAsia="ru-RU"/>
        </w:rPr>
        <w:t>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busField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interfaceTypes</w:t>
      </w:r>
      <w:proofErr w:type="gramEnd"/>
      <w:r w:rsidRPr="00D04D4B">
        <w:rPr>
          <w:rFonts w:eastAsia="Times New Roman"/>
          <w:lang w:val="en-US" w:eastAsia="ru-RU"/>
        </w:rPr>
        <w:t>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declarations.Add(</w:t>
      </w:r>
      <w:proofErr w:type="gramEnd"/>
      <w:r w:rsidRPr="00D04D4B">
        <w:rPr>
          <w:rFonts w:eastAsia="Times New Roman"/>
          <w:lang w:val="en-US" w:eastAsia="ru-RU"/>
        </w:rPr>
        <w:t>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neededAssemblies.AddRange(</w:t>
      </w:r>
      <w:proofErr w:type="gramEnd"/>
      <w:r w:rsidRPr="00D04D4B">
        <w:rPr>
          <w:rFonts w:eastAsia="Times New Roman"/>
          <w:lang w:val="en-US" w:eastAsia="ru-RU"/>
        </w:rPr>
        <w:t>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</w:t>
      </w:r>
      <w:proofErr w:type="gramStart"/>
      <w:r w:rsidRPr="00D04D4B">
        <w:rPr>
          <w:rFonts w:eastAsia="Times New Roman"/>
          <w:lang w:val="en-US" w:eastAsia="ru-RU"/>
        </w:rPr>
        <w:t>CSharpCompilation.Create(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assemblyName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</w:t>
      </w:r>
      <w:proofErr w:type="gramStart"/>
      <w:r w:rsidRPr="00D04D4B">
        <w:rPr>
          <w:rFonts w:eastAsia="Times New Roman"/>
          <w:lang w:val="en-US" w:eastAsia="ru-RU"/>
        </w:rPr>
        <w:t>StringBuilder(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</w:t>
      </w:r>
      <w:proofErr w:type="gramEnd"/>
      <w:r w:rsidRPr="00D04D4B">
        <w:rPr>
          <w:rFonts w:eastAsia="Times New Roman"/>
          <w:lang w:val="en-US" w:eastAsia="ru-RU"/>
        </w:rPr>
        <w:t>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SyntaxFactory.ParseStatement("_bus?.</w:t>
      </w:r>
      <w:proofErr w:type="gramStart"/>
      <w:r w:rsidRPr="00D04D4B">
        <w:rPr>
          <w:rFonts w:eastAsia="Times New Roman"/>
          <w:lang w:val="en-US" w:eastAsia="ru-RU"/>
        </w:rPr>
        <w:t>Dispose(</w:t>
      </w:r>
      <w:proofErr w:type="gramEnd"/>
      <w:r w:rsidRPr="00D04D4B">
        <w:rPr>
          <w:rFonts w:eastAsia="Times New Roman"/>
          <w:lang w:val="en-US" w:eastAsia="ru-RU"/>
        </w:rPr>
        <w:t>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  SyntaxFactory.MethodDeclaration</w:t>
      </w:r>
      <w:proofErr w:type="gramEnd"/>
      <w:r w:rsidRPr="00D04D4B">
        <w:rPr>
          <w:rFonts w:eastAsia="Times New Roman"/>
          <w:lang w:val="en-US" w:eastAsia="ru-RU"/>
        </w:rPr>
        <w:t>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 xml:space="preserve">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yield</w:t>
      </w:r>
      <w:proofErr w:type="gramEnd"/>
      <w:r w:rsidRPr="00D04D4B">
        <w:rPr>
          <w:rFonts w:eastAsia="Times New Roman"/>
          <w:lang w:val="en-US" w:eastAsia="ru-RU"/>
        </w:rPr>
        <w:t xml:space="preserve">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Directory.CreateDirectory(</w:t>
      </w:r>
      <w:proofErr w:type="gramEnd"/>
      <w:r w:rsidRPr="00D04D4B">
        <w:rPr>
          <w:rFonts w:eastAsia="Times New Roman"/>
          <w:lang w:val="en-US" w:eastAsia="ru-RU"/>
        </w:rPr>
        <w:t>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while(</w:t>
      </w:r>
      <w:proofErr w:type="gramEnd"/>
      <w:r w:rsidRPr="00D04D4B">
        <w:rPr>
          <w:rFonts w:eastAsia="Times New Roman"/>
          <w:lang w:val="en-US" w:eastAsia="ru-RU"/>
        </w:rPr>
        <w:t>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File.Delete(</w:t>
      </w:r>
      <w:proofErr w:type="gramEnd"/>
      <w:r w:rsidRPr="00D04D4B">
        <w:rPr>
          <w:rFonts w:eastAsia="Times New Roman"/>
          <w:lang w:val="en-US" w:eastAsia="ru-RU"/>
        </w:rPr>
        <w:t>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Byte[</w:t>
      </w:r>
      <w:proofErr w:type="gramEnd"/>
      <w:r w:rsidRPr="00D04D4B">
        <w:rPr>
          <w:rFonts w:eastAsia="Times New Roman"/>
          <w:lang w:val="en-US" w:eastAsia="ru-RU"/>
        </w:rPr>
        <w:t>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fs.Write(</w:t>
      </w:r>
      <w:proofErr w:type="gramEnd"/>
      <w:r w:rsidRPr="00D04D4B">
        <w:rPr>
          <w:rFonts w:eastAsia="Times New Roman"/>
          <w:lang w:val="en-US" w:eastAsia="ru-RU"/>
        </w:rPr>
        <w:t>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lastRenderedPageBreak/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requestClassName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responseClassName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handlerMethod</w:t>
      </w:r>
      <w:proofErr w:type="gramEnd"/>
      <w:r w:rsidRPr="00D04D4B">
        <w:rPr>
          <w:rFonts w:eastAsia="Times New Roman"/>
          <w:lang w:val="en-US" w:eastAsia="ru-RU"/>
        </w:rPr>
        <w:t>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SyntaxFactory.Parameter(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constructorBody</w:t>
      </w:r>
      <w:proofErr w:type="gramEnd"/>
      <w:r w:rsidRPr="00D04D4B">
        <w:rPr>
          <w:rFonts w:eastAsia="Times New Roman"/>
          <w:lang w:val="en-US" w:eastAsia="ru-RU"/>
        </w:rPr>
        <w:t xml:space="preserve">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if(</w:t>
      </w:r>
      <w:proofErr w:type="gramEnd"/>
      <w:r w:rsidRPr="00D04D4B">
        <w:rPr>
          <w:rFonts w:eastAsia="Times New Roman"/>
          <w:lang w:val="en-US" w:eastAsia="ru-RU"/>
        </w:rPr>
        <w:t xml:space="preserve">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constructorBody.Add(</w:t>
      </w:r>
      <w:proofErr w:type="gramEnd"/>
      <w:r w:rsidRPr="00D04D4B">
        <w:rPr>
          <w:rFonts w:eastAsia="Times New Roman"/>
          <w:lang w:val="en-US" w:eastAsia="ru-RU"/>
        </w:rPr>
        <w:t>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constructorParameters</w:t>
      </w:r>
      <w:proofErr w:type="gramEnd"/>
      <w:r w:rsidRPr="00D04D4B">
        <w:rPr>
          <w:rFonts w:eastAsia="Times New Roman"/>
          <w:lang w:val="en-US" w:eastAsia="ru-RU"/>
        </w:rPr>
        <w:t>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statements</w:t>
      </w:r>
      <w:proofErr w:type="gramEnd"/>
      <w:r w:rsidRPr="00D04D4B">
        <w:rPr>
          <w:rFonts w:eastAsia="Times New Roman"/>
          <w:lang w:val="en-US" w:eastAsia="ru-RU"/>
        </w:rPr>
        <w:t>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</w:t>
      </w:r>
      <w:proofErr w:type="gramStart"/>
      <w:r w:rsidRPr="00D04D4B">
        <w:rPr>
          <w:rFonts w:eastAsia="Times New Roman"/>
          <w:lang w:val="en-US" w:eastAsia="ru-RU"/>
        </w:rPr>
        <w:t>!(</w:t>
      </w:r>
      <w:proofErr w:type="gramEnd"/>
      <w:r w:rsidRPr="00D04D4B">
        <w:rPr>
          <w:rFonts w:eastAsia="Times New Roman"/>
          <w:lang w:val="en-US" w:eastAsia="ru-RU"/>
        </w:rPr>
        <w:t>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methodStructure.ReturnTypeName.StartsWith(</w:t>
      </w:r>
      <w:proofErr w:type="gramEnd"/>
      <w:r w:rsidRPr="00D04D4B">
        <w:rPr>
          <w:rFonts w:eastAsia="Times New Roman"/>
          <w:lang w:val="en-US" w:eastAsia="ru-RU"/>
        </w:rPr>
        <w:t>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</w:t>
      </w:r>
      <w:proofErr w:type="gramStart"/>
      <w:r w:rsidRPr="00D04D4B">
        <w:rPr>
          <w:rFonts w:eastAsia="Times New Roman"/>
          <w:lang w:val="en-US" w:eastAsia="ru-RU"/>
        </w:rPr>
        <w:t>Net.Derid.Interfaces.Models.Parameter(</w:t>
      </w:r>
      <w:proofErr w:type="gramEnd"/>
      <w:r w:rsidRPr="00D04D4B">
        <w:rPr>
          <w:rFonts w:eastAsia="Times New Roman"/>
          <w:lang w:val="en-US" w:eastAsia="ru-RU"/>
        </w:rPr>
        <w:t>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171DBB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0D4542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3"/>
      </w:pPr>
    </w:p>
    <w:sectPr w:rsidR="00897169" w:rsidRPr="00F27362" w:rsidSect="008C6E07">
      <w:headerReference w:type="default" r:id="rId24"/>
      <w:footerReference w:type="default" r:id="rId25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BFC" w:rsidRDefault="00C50BFC" w:rsidP="00F25540">
      <w:r>
        <w:separator/>
      </w:r>
    </w:p>
  </w:endnote>
  <w:endnote w:type="continuationSeparator" w:id="0">
    <w:p w:rsidR="00C50BFC" w:rsidRDefault="00C50BFC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9F108E" w:rsidRDefault="009F108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436">
          <w:rPr>
            <w:noProof/>
          </w:rPr>
          <w:t>21</w:t>
        </w:r>
        <w:r>
          <w:fldChar w:fldCharType="end"/>
        </w:r>
      </w:p>
    </w:sdtContent>
  </w:sdt>
  <w:p w:rsidR="009F108E" w:rsidRDefault="009F10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BFC" w:rsidRDefault="00C50BFC" w:rsidP="00F25540">
      <w:r>
        <w:separator/>
      </w:r>
    </w:p>
  </w:footnote>
  <w:footnote w:type="continuationSeparator" w:id="0">
    <w:p w:rsidR="00C50BFC" w:rsidRDefault="00C50BFC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8E" w:rsidRDefault="009F108E">
    <w:pPr>
      <w:pStyle w:val="a7"/>
    </w:pPr>
  </w:p>
  <w:p w:rsidR="009F108E" w:rsidRDefault="009F10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D2CC1"/>
    <w:rsid w:val="000D4542"/>
    <w:rsid w:val="000D49E7"/>
    <w:rsid w:val="000D5F5D"/>
    <w:rsid w:val="000E5CC3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598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56BC9"/>
    <w:rsid w:val="00564358"/>
    <w:rsid w:val="00570C05"/>
    <w:rsid w:val="00572F26"/>
    <w:rsid w:val="00581CB5"/>
    <w:rsid w:val="00593795"/>
    <w:rsid w:val="00594AE3"/>
    <w:rsid w:val="00595CD0"/>
    <w:rsid w:val="005B40F1"/>
    <w:rsid w:val="005B5839"/>
    <w:rsid w:val="005D2D7A"/>
    <w:rsid w:val="005D5385"/>
    <w:rsid w:val="005E3967"/>
    <w:rsid w:val="005E75CA"/>
    <w:rsid w:val="005F254B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90691"/>
    <w:rsid w:val="006913CC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C635F"/>
    <w:rsid w:val="006D417C"/>
    <w:rsid w:val="006E16C7"/>
    <w:rsid w:val="006E39B7"/>
    <w:rsid w:val="006F06B1"/>
    <w:rsid w:val="006F47C8"/>
    <w:rsid w:val="007013EC"/>
    <w:rsid w:val="00701C37"/>
    <w:rsid w:val="007075A8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18DE"/>
    <w:rsid w:val="0077299C"/>
    <w:rsid w:val="00776FC3"/>
    <w:rsid w:val="00783456"/>
    <w:rsid w:val="0078743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31E33"/>
    <w:rsid w:val="00840CE7"/>
    <w:rsid w:val="00842985"/>
    <w:rsid w:val="008540B9"/>
    <w:rsid w:val="00862FD7"/>
    <w:rsid w:val="0086673C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11EF0"/>
    <w:rsid w:val="0091388F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439"/>
    <w:rsid w:val="00AF0F8C"/>
    <w:rsid w:val="00AF6993"/>
    <w:rsid w:val="00AF7CD7"/>
    <w:rsid w:val="00B103AD"/>
    <w:rsid w:val="00B16599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7689"/>
    <w:rsid w:val="00BC78EB"/>
    <w:rsid w:val="00BD1D2D"/>
    <w:rsid w:val="00BD4BA9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0BFC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2970"/>
    <w:rsid w:val="00E44281"/>
    <w:rsid w:val="00E56E5F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732A"/>
    <w:rsid w:val="00F515BF"/>
    <w:rsid w:val="00F57D4E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2A48"/>
    <w:rsid w:val="00FD7FA1"/>
    <w:rsid w:val="00FE573F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6AA2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://rabbitmq.github.io/rabbitmq-dotnet-client/api/RabbitMQ.Clien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E5"/>
    <w:rsid w:val="005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E4746612C94D18920D3567A4310130">
    <w:name w:val="5DE4746612C94D18920D3567A4310130"/>
    <w:rsid w:val="00550FE5"/>
  </w:style>
  <w:style w:type="paragraph" w:customStyle="1" w:styleId="48E968F62FBE42A4979336EDF7E44701">
    <w:name w:val="48E968F62FBE42A4979336EDF7E44701"/>
    <w:rsid w:val="00550FE5"/>
  </w:style>
  <w:style w:type="paragraph" w:customStyle="1" w:styleId="D6598777301049E5B060BF1402DC98F1">
    <w:name w:val="D6598777301049E5B060BF1402DC98F1"/>
    <w:rsid w:val="00550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8549-A74F-42A6-9211-72661A80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77</Pages>
  <Words>17247</Words>
  <Characters>98313</Characters>
  <Application>Microsoft Office Word</Application>
  <DocSecurity>0</DocSecurity>
  <Lines>819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445</cp:revision>
  <dcterms:created xsi:type="dcterms:W3CDTF">2018-04-18T16:23:00Z</dcterms:created>
  <dcterms:modified xsi:type="dcterms:W3CDTF">2018-05-29T14:10:00Z</dcterms:modified>
</cp:coreProperties>
</file>