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6421DA">
      <w:pPr>
        <w:pStyle w:val="af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3836EF">
        <w:rPr>
          <w:shd w:val="clear" w:color="auto" w:fill="FFFFFF"/>
          <w:lang w:eastAsia="ru-RU"/>
        </w:rPr>
        <w:t>79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42970"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sdt>
      <w:sdtPr>
        <w:id w:val="-10625591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:rsidR="00AB63AE" w:rsidRDefault="00AB63AE">
          <w:pPr>
            <w:pStyle w:val="a5"/>
          </w:pPr>
          <w:r>
            <w:t>СОДЕРЖАНИЕ</w:t>
          </w: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Pr="00C144BF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Pr="00C144BF">
              <w:rPr>
                <w:rStyle w:val="ab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Pr="00C144BF">
              <w:rPr>
                <w:rStyle w:val="ab"/>
                <w:noProof/>
              </w:rPr>
              <w:t>1.1 Постановка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Pr="00C144BF">
              <w:rPr>
                <w:rStyle w:val="ab"/>
                <w:noProof/>
              </w:rPr>
              <w:t>1.2 Уточнение требований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Pr="00C144BF">
              <w:rPr>
                <w:rStyle w:val="ab"/>
                <w:noProof/>
              </w:rPr>
              <w:t>1.2.1 Типы лицензий ПО и их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Pr="00C144BF">
              <w:rPr>
                <w:rStyle w:val="ab"/>
                <w:noProof/>
              </w:rPr>
              <w:t>1.2.2 Вывод после анализа требований, видов лицензирования и типов   лицензирования.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Pr="00C144BF">
              <w:rPr>
                <w:rStyle w:val="ab"/>
                <w:noProof/>
              </w:rPr>
              <w:t>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Pr="00C144BF">
              <w:rPr>
                <w:rStyle w:val="ab"/>
                <w:noProof/>
              </w:rPr>
              <w:t>2.1 Аналог архитектуры.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Pr="00C144BF">
              <w:rPr>
                <w:rStyle w:val="ab"/>
                <w:noProof/>
              </w:rPr>
              <w:t>2.2 Аналог платформы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Pr="00C144BF">
              <w:rPr>
                <w:rStyle w:val="ab"/>
                <w:noProof/>
              </w:rPr>
              <w:t>2.3 Выбор среды виртуализации.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Pr="00C144BF">
              <w:rPr>
                <w:rStyle w:val="ab"/>
                <w:noProof/>
              </w:rPr>
              <w:t>2.4 Выбор платформы передачи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Pr="00C144BF">
              <w:rPr>
                <w:rStyle w:val="ab"/>
                <w:noProof/>
              </w:rPr>
              <w:t>2.4.1 Amazon SQS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Pr="00C144BF">
              <w:rPr>
                <w:rStyle w:val="ab"/>
                <w:noProof/>
              </w:rPr>
              <w:t>2.4.2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Pr="00C144BF">
              <w:rPr>
                <w:rStyle w:val="ab"/>
                <w:noProof/>
              </w:rPr>
              <w:t>2.4.3 Сравнение производительности.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Pr="00C144BF">
              <w:rPr>
                <w:rStyle w:val="ab"/>
                <w:noProof/>
                <w:lang w:val="en-US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Pr="00C144BF">
              <w:rPr>
                <w:rStyle w:val="ab"/>
                <w:noProof/>
              </w:rPr>
              <w:t>3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Pr="00C144BF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Pr="00C144BF">
              <w:rPr>
                <w:rStyle w:val="ab"/>
                <w:noProof/>
              </w:rPr>
              <w:t>3.1.1 Visual Studio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Pr="00C144BF">
              <w:rPr>
                <w:rStyle w:val="ab"/>
                <w:noProof/>
              </w:rPr>
              <w:t>3.1.2 ReSharper Ultimate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Pr="00C144BF">
              <w:rPr>
                <w:rStyle w:val="ab"/>
                <w:noProof/>
              </w:rPr>
              <w:t>3.1.3 Source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Pr="00C144BF">
              <w:rPr>
                <w:rStyle w:val="ab"/>
                <w:noProof/>
              </w:rPr>
              <w:t>3.1.4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Pr="00C144BF">
              <w:rPr>
                <w:rStyle w:val="ab"/>
                <w:noProof/>
              </w:rPr>
              <w:t>3.2 Обзор модульной системы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Pr="00C144BF">
              <w:rPr>
                <w:rStyle w:val="ab"/>
                <w:noProof/>
              </w:rPr>
              <w:t>алгоритмов</w:t>
            </w:r>
            <w:r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Pr="00C144BF">
              <w:rPr>
                <w:rStyle w:val="ab"/>
                <w:noProof/>
              </w:rPr>
              <w:t>3.3.1 Обобщенный 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Pr="00C144BF">
              <w:rPr>
                <w:rStyle w:val="ab"/>
                <w:noProof/>
              </w:rPr>
              <w:t>3.3.2 Описание генерации динамических сборок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Pr="00C144BF">
              <w:rPr>
                <w:rStyle w:val="ab"/>
                <w:noProof/>
              </w:rPr>
              <w:t>4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Pr="00C144BF">
              <w:rPr>
                <w:rStyle w:val="ab"/>
                <w:noProof/>
              </w:rPr>
              <w:t>4.1 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Pr="00C144BF">
              <w:rPr>
                <w:rStyle w:val="ab"/>
                <w:noProof/>
              </w:rPr>
              <w:t>4.2 Интеграционные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Pr="00C144BF">
              <w:rPr>
                <w:rStyle w:val="ab"/>
                <w:noProof/>
              </w:rPr>
              <w:t>4.3. Нагрузочные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Pr="00C144BF">
              <w:rPr>
                <w:rStyle w:val="ab"/>
                <w:noProof/>
              </w:rPr>
              <w:t>5 ТЕХНИКО–ЭКОНОМИЧЕСКОЕ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Pr="00C144BF">
              <w:rPr>
                <w:rStyle w:val="ab"/>
                <w:noProof/>
              </w:rPr>
              <w:t>5.1 Введение и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Pr="00C144BF">
              <w:rPr>
                <w:rStyle w:val="ab"/>
                <w:noProof/>
              </w:rPr>
              <w:t>5.3. Расчет нормативной трудоёмкости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Pr="00C144BF">
              <w:rPr>
                <w:rStyle w:val="ab"/>
                <w:noProof/>
              </w:rPr>
              <w:t>5.5. Расчет капитальных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Pr="00C144BF">
              <w:rPr>
                <w:rStyle w:val="ab"/>
                <w:noProof/>
              </w:rPr>
              <w:t>5.6. Расчёт экономического эффекта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Pr="00C144B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Pr="00C144BF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13" w:rsidRDefault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Pr="00C144BF">
              <w:rPr>
                <w:rStyle w:val="ab"/>
                <w:noProof/>
              </w:rPr>
              <w:t>ПРИЛОЖЕНИЕ А</w:t>
            </w:r>
            <w:r>
              <w:rPr>
                <w:rStyle w:val="ab"/>
                <w:noProof/>
              </w:rPr>
              <w:t xml:space="preserve"> </w:t>
            </w:r>
            <w:r w:rsidRPr="00E60613">
              <w:rPr>
                <w:rStyle w:val="ab"/>
                <w:noProof/>
              </w:rPr>
              <w:t>(обязательное)</w:t>
            </w:r>
            <w:r>
              <w:rPr>
                <w:rStyle w:val="ab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3AE" w:rsidRPr="00862FD7" w:rsidRDefault="00E60613" w:rsidP="00E606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  <w:r w:rsidR="00AB63AE">
            <w:rPr>
              <w:b/>
              <w:bCs/>
            </w:rPr>
            <w:fldChar w:fldCharType="end"/>
          </w:r>
        </w:p>
      </w:sdtContent>
    </w:sdt>
    <w:p w:rsidR="003F11A6" w:rsidRDefault="003F11A6">
      <w:pPr>
        <w:rPr>
          <w:rFonts w:cs="Times New Roman"/>
        </w:rPr>
      </w:pPr>
    </w:p>
    <w:p w:rsidR="00161A1A" w:rsidRDefault="00161A1A">
      <w:pPr>
        <w:rPr>
          <w:rFonts w:cs="Times New Roman"/>
        </w:rPr>
      </w:pPr>
    </w:p>
    <w:p w:rsidR="00161A1A" w:rsidRPr="00E74EE2" w:rsidRDefault="00161A1A">
      <w:pPr>
        <w:rPr>
          <w:rFonts w:cs="Times New Roman"/>
        </w:rPr>
      </w:pPr>
      <w:r w:rsidRPr="00161A1A">
        <w:rPr>
          <w:rFonts w:cs="Times New Roman"/>
          <w:highlight w:val="yellow"/>
        </w:rPr>
        <w:t>ПЕРЕПЕЧАТАТЬ В РУЧНУЮ</w:t>
      </w:r>
    </w:p>
    <w:p w:rsidR="00F25540" w:rsidRPr="00225629" w:rsidRDefault="00F25540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51506C">
      <w:pPr>
        <w:pStyle w:val="af"/>
        <w:rPr>
          <w:shd w:val="clear" w:color="auto" w:fill="FFFFFF"/>
        </w:rPr>
      </w:pPr>
      <w:bookmarkStart w:id="2" w:name="_Toc515363845"/>
      <w:r w:rsidRPr="00CB0192">
        <w:lastRenderedPageBreak/>
        <w:t>В</w:t>
      </w:r>
      <w:r w:rsidR="00CB0192">
        <w:t>ВЕДЕНИЕ</w:t>
      </w:r>
      <w:bookmarkEnd w:id="2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3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3"/>
    </w:p>
    <w:p w:rsidR="00230B16" w:rsidRPr="00F960B6" w:rsidRDefault="00C2791B" w:rsidP="00F960B6">
      <w:pPr>
        <w:pStyle w:val="af1"/>
      </w:pPr>
      <w:bookmarkStart w:id="4" w:name="_Toc515363847"/>
      <w:r>
        <w:t xml:space="preserve">1.1 </w:t>
      </w:r>
      <w:r w:rsidR="007331D6">
        <w:t>Постановка цели разработки</w:t>
      </w:r>
      <w:bookmarkEnd w:id="4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</w:t>
      </w:r>
      <w:r w:rsidR="00C9258D">
        <w:fldChar w:fldCharType="end"/>
      </w:r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платформа, реализующая систему обмена 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 xml:space="preserve">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2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3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5" w:name="_Toc515363848"/>
      <w:r>
        <w:t>1.2</w:t>
      </w:r>
      <w:r w:rsidR="00E704AC">
        <w:t xml:space="preserve"> Уточнение требований разработки</w:t>
      </w:r>
      <w:bookmarkEnd w:id="5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6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6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4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5</w:t>
      </w:r>
      <w:r w:rsidR="00C9258D"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7718DE" w:rsidRPr="007718DE">
        <w:t>:</w:t>
      </w:r>
    </w:p>
    <w:p w:rsidR="007718DE" w:rsidRPr="000719EF" w:rsidRDefault="007718DE" w:rsidP="00A94763">
      <w:pPr>
        <w:pStyle w:val="ac"/>
      </w:pPr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A94763">
      <w:pPr>
        <w:pStyle w:val="ac"/>
      </w:pPr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A94763">
      <w:pPr>
        <w:pStyle w:val="ac"/>
      </w:pPr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A94763">
      <w:pPr>
        <w:pStyle w:val="ac"/>
      </w:pPr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  <w:r w:rsidR="006B42BE" w:rsidRPr="000719EF">
        <w:t xml:space="preserve"> (ШАБЛОН ДП вынести всё до абзаца)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7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7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Pr="0098380C">
        <w:t>: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8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8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9" w:name="_Toc515363852"/>
      <w:r>
        <w:t xml:space="preserve">2.1 </w:t>
      </w:r>
      <w:r w:rsidR="00CD6B52">
        <w:t>Аналог архитектуры.</w:t>
      </w:r>
      <w:bookmarkEnd w:id="9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0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0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1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1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2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3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3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4" w:name="_Toc515363857"/>
      <w:r w:rsidRPr="00B87064">
        <w:rPr>
          <w:lang w:val="ru-RU"/>
        </w:rPr>
        <w:t xml:space="preserve">2.4.2 </w:t>
      </w:r>
      <w:r>
        <w:t>RabbitMQ</w:t>
      </w:r>
      <w:bookmarkEnd w:id="14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5" w:name="_Toc515363858"/>
      <w:r w:rsidRPr="00AB63AE">
        <w:rPr>
          <w:lang w:val="ru-RU"/>
        </w:rPr>
        <w:t>2.4.3 Сравнение производительности.</w:t>
      </w:r>
      <w:bookmarkEnd w:id="15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4D4478">
      <w:pPr>
        <w:pStyle w:val="ac"/>
        <w:ind w:left="1134" w:firstLine="709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lastRenderedPageBreak/>
        <w:t>Одновременная отправка и получение сообщений из одной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нескольких очередей.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CE71CA">
      <w:pPr>
        <w:pStyle w:val="ac"/>
        <w:numPr>
          <w:ilvl w:val="0"/>
          <w:numId w:val="8"/>
        </w:numPr>
        <w:ind w:left="1134" w:firstLine="0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A02968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A02968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A02968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A02968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A02968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A02968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A02968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A02968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A02968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A02968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A02968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6</w:t>
      </w:r>
      <w:r w:rsidR="00C9258D"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7</w:t>
      </w:r>
      <w:r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6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6"/>
    </w:p>
    <w:p w:rsidR="0044104E" w:rsidRDefault="00810973" w:rsidP="002E0CB7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7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7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8" w:name="_Toc515363861"/>
      <w:r w:rsidR="004D3D14">
        <w:t>Инструментарий разработки программного продукта.</w:t>
      </w:r>
      <w:bookmarkEnd w:id="18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19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19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построенный на основе нескольких образов.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8</w:t>
      </w:r>
      <w:r>
        <w:fldChar w:fldCharType="end"/>
      </w:r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0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0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1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1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Pr="009C1B84">
        <w:t>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84" w:rsidRPr="00C37F7C" w:rsidRDefault="00401E73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9</w:t>
      </w:r>
      <w:r>
        <w:fldChar w:fldCharType="end"/>
      </w:r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B34138" w:rsidRDefault="00B34138" w:rsidP="0019573F"/>
    <w:p w:rsidR="009C1B84" w:rsidRPr="00AB63AE" w:rsidRDefault="00B34138" w:rsidP="006B42BE">
      <w:pPr>
        <w:pStyle w:val="22"/>
        <w:rPr>
          <w:lang w:val="ru-RU"/>
        </w:rPr>
      </w:pPr>
      <w:bookmarkStart w:id="22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2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</w:t>
      </w:r>
      <w:r>
        <w:lastRenderedPageBreak/>
        <w:t xml:space="preserve">конфигурирования процессов сборки и обновления версий продукта с помощью специальных файлов конфигурации с расширением </w:t>
      </w:r>
      <w:r>
        <w:rPr>
          <w:lang w:val="en-US"/>
        </w:rPr>
        <w:t>yaml</w:t>
      </w:r>
      <w:r w:rsidRPr="009C1B84">
        <w:t>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4318">
        <w:rPr>
          <w:noProof/>
        </w:rPr>
        <w:t>10</w:t>
      </w:r>
      <w:r>
        <w:fldChar w:fldCharType="end"/>
      </w:r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3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3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7E172C" w:rsidRDefault="00137040" w:rsidP="00977872">
      <w:pPr>
        <w:pStyle w:val="ac"/>
        <w:numPr>
          <w:ilvl w:val="0"/>
          <w:numId w:val="10"/>
        </w:numPr>
        <w:ind w:left="0" w:firstLine="680"/>
        <w:rPr>
          <w:lang w:val="en-US"/>
        </w:rPr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137040" w:rsidRPr="007E172C">
        <w:rPr>
          <w:color w:val="000000"/>
          <w:lang w:val="en-US"/>
        </w:rPr>
        <w:t xml:space="preserve"> </w:t>
      </w:r>
      <w:r w:rsidR="00137040" w:rsidRPr="007E172C">
        <w:rPr>
          <w:lang w:val="en-US"/>
        </w:rPr>
        <w:t>public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r w:rsidRPr="00B87064">
        <w:rPr>
          <w:lang w:val="en-US"/>
        </w:rPr>
        <w:t>public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OnStart();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>Task OnSuspend();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r>
        <w:t xml:space="preserve">5  </w:t>
      </w:r>
      <w:r w:rsidR="00A823FC" w:rsidRPr="00DE4A22">
        <w:rPr>
          <w:lang w:val="en-US"/>
        </w:rPr>
        <w:t>MassTransit</w:t>
      </w:r>
      <w:r w:rsidR="00A823FC" w:rsidRPr="00DE4A22">
        <w:t xml:space="preserve"> </w:t>
      </w:r>
      <w:r w:rsidR="00A823FC" w:rsidRPr="00DE4A22">
        <w:rPr>
          <w:lang w:val="en-US"/>
        </w:rPr>
        <w:t>Adapter</w:t>
      </w:r>
      <w:r w:rsidR="00A823FC" w:rsidRPr="00DE4A22">
        <w:t xml:space="preserve"> – </w:t>
      </w:r>
      <w:r w:rsidR="00A823FC">
        <w:t>модуль</w:t>
      </w:r>
      <w:r w:rsidR="00A823FC" w:rsidRPr="00DE4A22">
        <w:t xml:space="preserve"> </w:t>
      </w:r>
      <w:r w:rsidR="00A823FC">
        <w:t>который</w:t>
      </w:r>
      <w:r w:rsidR="00A823FC" w:rsidRPr="00DE4A22">
        <w:t xml:space="preserve"> </w:t>
      </w:r>
      <w:r w:rsidR="00A823FC">
        <w:t>содержит</w:t>
      </w:r>
      <w:r w:rsidR="00A823FC" w:rsidRPr="00DE4A22">
        <w:t xml:space="preserve"> </w:t>
      </w:r>
      <w:r w:rsidR="00A823FC">
        <w:t>общую</w:t>
      </w:r>
      <w:r w:rsidR="00A823FC" w:rsidRPr="00DE4A22">
        <w:t xml:space="preserve"> </w:t>
      </w:r>
      <w:r w:rsidR="00A823FC">
        <w:t>логику</w:t>
      </w:r>
      <w:r w:rsidR="00A823FC" w:rsidRPr="00DE4A22">
        <w:t xml:space="preserve"> </w:t>
      </w:r>
      <w:r w:rsidR="00A823FC">
        <w:t>передачи</w:t>
      </w:r>
      <w:r w:rsidR="00A823FC" w:rsidRPr="00DE4A22">
        <w:t xml:space="preserve"> </w:t>
      </w:r>
      <w:r w:rsidR="00A823FC">
        <w:t>сообщений</w:t>
      </w:r>
      <w:r w:rsidR="00A823FC" w:rsidRPr="00DE4A22">
        <w:t xml:space="preserve"> </w:t>
      </w:r>
      <w:r w:rsidR="00A823FC">
        <w:t>с</w:t>
      </w:r>
      <w:r w:rsidR="00A823FC" w:rsidRPr="00DE4A22">
        <w:t xml:space="preserve"> </w:t>
      </w:r>
      <w:r w:rsidR="00A823FC">
        <w:t>помощью</w:t>
      </w:r>
      <w:r w:rsidR="00A823FC" w:rsidRPr="00DE4A22">
        <w:t xml:space="preserve"> </w:t>
      </w:r>
      <w:r w:rsidR="00A823FC">
        <w:t>фреймворка</w:t>
      </w:r>
      <w:r w:rsidR="00A823FC" w:rsidRPr="00DE4A22">
        <w:t xml:space="preserve"> </w:t>
      </w:r>
      <w:r w:rsidR="00A823FC" w:rsidRPr="00DE4A22">
        <w:rPr>
          <w:lang w:val="en-US"/>
        </w:rPr>
        <w:t>MassTransit</w:t>
      </w:r>
      <w:r w:rsidR="00A823FC" w:rsidRPr="00DE4A22">
        <w:t xml:space="preserve"> </w:t>
      </w:r>
      <w:r w:rsidR="00A823FC">
        <w:t>и</w:t>
      </w:r>
      <w:r w:rsidR="00A823FC" w:rsidRPr="00DE4A22">
        <w:t xml:space="preserve"> </w:t>
      </w:r>
      <w:r w:rsidR="00A823FC">
        <w:t>платформы</w:t>
      </w:r>
      <w:r w:rsidR="00A823FC" w:rsidRPr="00DE4A22">
        <w:t xml:space="preserve"> </w:t>
      </w:r>
      <w:r w:rsidR="00A823FC" w:rsidRPr="00DE4A22">
        <w:rPr>
          <w:lang w:val="en-US"/>
        </w:rPr>
        <w:t>RabbitMQ</w:t>
      </w:r>
      <w:r w:rsidR="00A823FC" w:rsidRPr="00DE4A22"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public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GenerateClient&lt;T&gt;()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public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>TypeStructure AnalyzeType(Type type);</w:t>
      </w:r>
    </w:p>
    <w:p w:rsidR="00B71EF0" w:rsidRPr="00161A1A" w:rsidRDefault="00B71EF0" w:rsidP="00DE4A22">
      <w:pPr>
        <w:pStyle w:val="aff3"/>
        <w:ind w:left="284"/>
        <w:rPr>
          <w:lang w:val="en-US"/>
        </w:rPr>
      </w:pPr>
      <w:r w:rsidRPr="00161A1A">
        <w:rPr>
          <w:lang w:val="en-US"/>
        </w:rPr>
        <w:t>}</w:t>
      </w:r>
    </w:p>
    <w:p w:rsidR="00B71EF0" w:rsidRPr="00F715BF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lastRenderedPageBreak/>
        <w:t>public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>return result.Proxy;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11</w:t>
      </w:r>
      <w:r w:rsidR="00C9258D">
        <w:fldChar w:fldCharType="end"/>
      </w:r>
      <w:r w:rsidR="00E56E5F">
        <w:t xml:space="preserve"> –</w:t>
      </w:r>
      <w:r w:rsidR="00DE4A22">
        <w:rPr>
          <w:lang w:val="en-US"/>
        </w:rPr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4" w:name="_Toc483786985"/>
      <w:bookmarkStart w:id="25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4"/>
      <w:bookmarkEnd w:id="25"/>
    </w:p>
    <w:p w:rsidR="006B656B" w:rsidRPr="00AB63AE" w:rsidRDefault="00E8569B" w:rsidP="006B42BE">
      <w:pPr>
        <w:pStyle w:val="22"/>
        <w:rPr>
          <w:lang w:val="ru-RU"/>
        </w:rPr>
      </w:pPr>
      <w:bookmarkStart w:id="26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6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r w:rsidR="00C9258D">
        <w:fldChar w:fldCharType="begin"/>
      </w:r>
      <w:r w:rsidR="00C9258D">
        <w:instrText xml:space="preserve"> SEQ Рисунок \* ARABIC </w:instrText>
      </w:r>
      <w:r w:rsidR="00C9258D">
        <w:fldChar w:fldCharType="separate"/>
      </w:r>
      <w:r w:rsidR="00184318">
        <w:rPr>
          <w:noProof/>
        </w:rPr>
        <w:t>12</w:t>
      </w:r>
      <w:r w:rsidR="00C9258D">
        <w:fldChar w:fldCharType="end"/>
      </w:r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7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7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8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8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29" w:name="_Toc515363871"/>
      <w:r>
        <w:t xml:space="preserve">4.1 </w:t>
      </w:r>
      <w:r w:rsidR="00884ACA">
        <w:t>Модульные тесты</w:t>
      </w:r>
      <w:bookmarkEnd w:id="29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0" w:name="_Toc515363872"/>
      <w:r>
        <w:t xml:space="preserve">4.2 </w:t>
      </w:r>
      <w:r w:rsidR="003E5D9C"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C94F04" w:rsidRPr="00C94F04" w:rsidRDefault="00C94F04" w:rsidP="003E5D9C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57D4E" w:rsidP="00C94F04">
      <w:pPr>
        <w:ind w:firstLine="0"/>
      </w:pPr>
    </w:p>
    <w:p w:rsidR="00F57D4E" w:rsidRDefault="00FF45AB" w:rsidP="00FF45AB">
      <w:pPr>
        <w:pStyle w:val="af1"/>
      </w:pPr>
      <w:bookmarkStart w:id="31" w:name="_Toc515363873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 xml:space="preserve">, проверке корректной работы маршрутизации, и производятся замеры производительности. Если замеры производительности оказались ниже допустимого уровня </w:t>
      </w:r>
      <w:r w:rsidR="00C94F04">
        <w:lastRenderedPageBreak/>
        <w:t>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6442FF" w:rsidRDefault="006442FF" w:rsidP="00C94F04"/>
    <w:p w:rsidR="00F715BF" w:rsidRDefault="002E0CB7" w:rsidP="00E7794A">
      <w:pPr>
        <w:pStyle w:val="af"/>
      </w:pPr>
      <w:bookmarkStart w:id="32" w:name="_Toc484364138"/>
      <w:bookmarkStart w:id="33" w:name="_Toc515363874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3"/>
    </w:p>
    <w:p w:rsidR="006442FF" w:rsidRDefault="006442FF" w:rsidP="00CB4E12">
      <w:pPr>
        <w:pStyle w:val="af1"/>
      </w:pPr>
      <w:bookmarkStart w:id="34" w:name="_Toc515363875"/>
      <w:r>
        <w:t>5</w:t>
      </w:r>
      <w:r w:rsidRPr="007330EA">
        <w:t>.1 Введение и исходные данные</w:t>
      </w:r>
      <w:bookmarkEnd w:id="32"/>
      <w:bookmarkEnd w:id="34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5" w:name="_Toc484364139"/>
      <w:bookmarkStart w:id="36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lastRenderedPageBreak/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6442FF" w:rsidRDefault="00161A1A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B76D30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C57784" w:rsidTr="008223F8">
        <w:trPr>
          <w:tblHeader/>
        </w:trPr>
        <w:tc>
          <w:tcPr>
            <w:tcW w:w="3685" w:type="dxa"/>
          </w:tcPr>
          <w:p w:rsidR="00C57784" w:rsidRDefault="00C57784" w:rsidP="00C57784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C57784" w:rsidRDefault="00C57784" w:rsidP="00C57784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C57784" w:rsidRPr="00C223BD" w:rsidRDefault="00C57784" w:rsidP="00C5778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C57784" w:rsidRDefault="00C57784" w:rsidP="00C57784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C57784" w:rsidTr="008223F8">
        <w:trPr>
          <w:tblHeader/>
        </w:trPr>
        <w:tc>
          <w:tcPr>
            <w:tcW w:w="3685" w:type="dxa"/>
          </w:tcPr>
          <w:p w:rsidR="00C57784" w:rsidRDefault="00C57784" w:rsidP="00C57784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C57784" w:rsidRDefault="00C57784" w:rsidP="00C57784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C57784" w:rsidRPr="00C223BD" w:rsidRDefault="00C57784" w:rsidP="00C5778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C57784" w:rsidRDefault="00C57784" w:rsidP="00C57784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C57784" w:rsidTr="008223F8">
        <w:trPr>
          <w:tblHeader/>
        </w:trPr>
        <w:tc>
          <w:tcPr>
            <w:tcW w:w="3685" w:type="dxa"/>
          </w:tcPr>
          <w:p w:rsidR="00C57784" w:rsidRDefault="00C57784" w:rsidP="00C57784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C57784" w:rsidRDefault="00C57784" w:rsidP="00C57784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C57784" w:rsidRPr="00C223BD" w:rsidRDefault="00C57784" w:rsidP="00C5778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C57784" w:rsidRDefault="00C57784" w:rsidP="00C57784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C57784" w:rsidTr="008223F8">
        <w:trPr>
          <w:tblHeader/>
        </w:trPr>
        <w:tc>
          <w:tcPr>
            <w:tcW w:w="3685" w:type="dxa"/>
          </w:tcPr>
          <w:p w:rsidR="00C57784" w:rsidRDefault="00C57784" w:rsidP="00C57784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C57784" w:rsidRDefault="00C57784" w:rsidP="00C57784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C57784" w:rsidRPr="00C223BD" w:rsidRDefault="00C57784" w:rsidP="00C5778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C57784" w:rsidRDefault="00C57784" w:rsidP="00C57784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</w:t>
      </w:r>
      <w:r w:rsidRPr="00C223BD">
        <w:lastRenderedPageBreak/>
        <w:t xml:space="preserve">На основании информации и функциях разрабатываемого программного 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bookmarkStart w:id="37" w:name="_GoBack"/>
      <w:bookmarkEnd w:id="37"/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76D30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76D30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76D30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76D30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76D30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76D30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76D30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76D30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76D30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8681"/>
      </w:tblGrid>
      <w:tr w:rsidR="006442FF" w:rsidTr="003A7992">
        <w:tc>
          <w:tcPr>
            <w:tcW w:w="675" w:type="dxa"/>
          </w:tcPr>
          <w:p w:rsidR="006442FF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161A1A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Default="006442FF" w:rsidP="00A61972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>
              <w:t xml:space="preserve"> общее число функций.</w:t>
            </w:r>
          </w:p>
          <w:p w:rsidR="006442FF" w:rsidRPr="00074713" w:rsidRDefault="006442FF" w:rsidP="003A7992">
            <w:pPr>
              <w:pStyle w:val="afc"/>
              <w:rPr>
                <w:lang w:val="en-US"/>
              </w:rPr>
            </w:pP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161A1A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8" w:name="_Toc515363877"/>
      <w:r>
        <w:lastRenderedPageBreak/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8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598"/>
        <w:gridCol w:w="6824"/>
        <w:gridCol w:w="1604"/>
        <w:gridCol w:w="328"/>
      </w:tblGrid>
      <w:tr w:rsidR="006442FF" w:rsidTr="007E728E">
        <w:trPr>
          <w:gridAfter w:val="1"/>
          <w:wAfter w:w="328" w:type="dxa"/>
        </w:trPr>
        <w:tc>
          <w:tcPr>
            <w:tcW w:w="7422" w:type="dxa"/>
            <w:gridSpan w:val="2"/>
          </w:tcPr>
          <w:p w:rsidR="006442FF" w:rsidRDefault="00161A1A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7E728E">
        <w:tc>
          <w:tcPr>
            <w:tcW w:w="598" w:type="dxa"/>
          </w:tcPr>
          <w:p w:rsidR="006442FF" w:rsidRPr="008C406A" w:rsidRDefault="006442FF" w:rsidP="00A6197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161A1A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7E728E">
        <w:tc>
          <w:tcPr>
            <w:tcW w:w="598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161A1A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</m:t>
          </m:r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161A1A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161A1A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161A1A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161A1A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161A1A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lastRenderedPageBreak/>
              <w:t>где</w:t>
            </w:r>
          </w:p>
        </w:tc>
        <w:tc>
          <w:tcPr>
            <w:tcW w:w="8047" w:type="dxa"/>
            <w:gridSpan w:val="3"/>
          </w:tcPr>
          <w:p w:rsidR="006442FF" w:rsidRDefault="00161A1A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161A1A" w:rsidP="003A7992">
            <w:pPr>
              <w:pStyle w:val="afc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161A1A" w:rsidP="003A7992">
            <w:pPr>
              <w:pStyle w:val="afc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7E728E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161A1A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161A1A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161A1A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6442FF">
      <w:pPr>
        <w:pStyle w:val="a"/>
        <w:jc w:val="both"/>
      </w:pPr>
      <w:r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A7992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570C05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570C05">
        <w:trPr>
          <w:trHeight w:val="98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lastRenderedPageBreak/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9" w:name="_Toc515363878"/>
      <w:r>
        <w:t xml:space="preserve">5.4. </w:t>
      </w:r>
      <w:r w:rsidR="006442FF">
        <w:t>Расчет основной заработной платы исполнителей</w:t>
      </w:r>
      <w:bookmarkEnd w:id="39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161A1A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c"/>
                  </w:pPr>
                  <w:r>
                    <w:t>где</w:t>
                  </w:r>
                </w:p>
              </w:tc>
              <w:tc>
                <w:tcPr>
                  <w:tcW w:w="7941" w:type="dxa"/>
                </w:tcPr>
                <w:p w:rsidR="006442FF" w:rsidRDefault="00161A1A" w:rsidP="003A7992">
                  <w:pPr>
                    <w:pStyle w:val="afc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161A1A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c"/>
        <w:ind w:firstLine="708"/>
      </w:pPr>
    </w:p>
    <w:p w:rsidR="006442FF" w:rsidRPr="002F6652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6442FF" w:rsidRPr="00623811" w:rsidRDefault="00161A1A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6442FF" w:rsidRDefault="006442FF" w:rsidP="000D2CC1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c"/>
        <w:ind w:firstLine="708"/>
      </w:pPr>
    </w:p>
    <w:p w:rsidR="006442FF" w:rsidRPr="002F6652" w:rsidRDefault="00161A1A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6442FF" w:rsidRPr="002F6652" w:rsidRDefault="00161A1A" w:rsidP="002F6652">
      <w:pPr>
        <w:pStyle w:val="a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>рифных ставок сведен в таблицу 4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2D60D6"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Тарифный коэффициент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Месячная тарифная ставка (руб)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76D30">
            <w:pPr>
              <w:pStyle w:val="aff"/>
            </w:pPr>
            <w:r w:rsidRPr="00C223BD">
              <w:t>(руб)</w:t>
            </w:r>
          </w:p>
        </w:tc>
      </w:tr>
      <w:tr w:rsidR="006442FF" w:rsidRPr="00C223BD" w:rsidTr="002D60D6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lastRenderedPageBreak/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823,05</w:t>
            </w:r>
          </w:p>
          <w:p w:rsidR="006442FF" w:rsidRPr="00C223BD" w:rsidRDefault="006442FF" w:rsidP="00B76D30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4,68</w:t>
            </w:r>
          </w:p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680,45</w:t>
            </w:r>
          </w:p>
          <w:p w:rsidR="006442FF" w:rsidRPr="00C223BD" w:rsidRDefault="006442FF" w:rsidP="00B76D30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3,87</w:t>
            </w:r>
          </w:p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c"/>
            </w:pPr>
            <w:r>
              <w:t>где</w:t>
            </w:r>
          </w:p>
        </w:tc>
        <w:tc>
          <w:tcPr>
            <w:tcW w:w="8895" w:type="dxa"/>
          </w:tcPr>
          <w:p w:rsidR="006442FF" w:rsidRDefault="006442FF" w:rsidP="003A7992">
            <w:pPr>
              <w:pStyle w:val="afc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161A1A" w:rsidP="003A7992">
            <w:pPr>
              <w:pStyle w:val="afc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3A7992">
            <w:pPr>
              <w:pStyle w:val="afc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161A1A" w:rsidP="003A7992">
            <w:pPr>
              <w:pStyle w:val="afc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3A7992">
            <w:pPr>
              <w:pStyle w:val="afc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>
              <w:rPr>
                <w:rFonts w:eastAsiaTheme="minorEastAsia"/>
                <w:szCs w:val="28"/>
              </w:rPr>
              <w:t xml:space="preserve"> – коэффициент премирования;</w:t>
            </w:r>
          </w:p>
        </w:tc>
      </w:tr>
    </w:tbl>
    <w:p w:rsidR="006442FF" w:rsidRPr="00C223BD" w:rsidRDefault="006442FF" w:rsidP="006442FF">
      <w:pPr>
        <w:pStyle w:val="afc"/>
      </w:pPr>
      <w:r>
        <w:rPr>
          <w:rFonts w:eastAsiaTheme="minorEastAsia"/>
        </w:rPr>
        <w:t>.</w:t>
      </w:r>
    </w:p>
    <w:p w:rsidR="006442FF" w:rsidRPr="00C223BD" w:rsidRDefault="00161A1A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lastRenderedPageBreak/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161A1A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1"/>
        <w:gridCol w:w="8013"/>
      </w:tblGrid>
      <w:tr w:rsidR="006442FF" w:rsidTr="003A7992">
        <w:tc>
          <w:tcPr>
            <w:tcW w:w="567" w:type="dxa"/>
          </w:tcPr>
          <w:p w:rsidR="006442FF" w:rsidRDefault="006442FF" w:rsidP="003A7992">
            <w:pPr>
              <w:pStyle w:val="afc"/>
              <w:ind w:left="-108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0D2CC1"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161A1A" w:rsidP="00DC2C4C">
            <w:pPr>
              <w:pStyle w:val="aff6"/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м</m:t>
                    </m:r>
                  </m:sub>
                </m:sSub>
                <m:r>
                  <m:t>*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 xml:space="preserve">* </m:t>
                </m:r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р</m:t>
                    </m:r>
                  </m:sub>
                </m:sSub>
                <m:r>
                  <m:t>=1*</m:t>
                </m:r>
                <m:f>
                  <m:fPr>
                    <m:ctrlPr/>
                  </m:fPr>
                  <m:num>
                    <m:r>
                      <m:t xml:space="preserve">30000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*6=1.800 руб.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p w:rsidR="006442FF" w:rsidRPr="00C223BD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074" w:type="dxa"/>
          </w:tcPr>
          <w:p w:rsidR="006442FF" w:rsidRPr="002F6652" w:rsidRDefault="00161A1A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2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6442FF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14854.86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0" w:type="dxa"/>
          </w:tcPr>
          <w:p w:rsidR="006442FF" w:rsidRDefault="006442FF" w:rsidP="003A7992">
            <w:pPr>
              <w:pStyle w:val="afc"/>
            </w:pPr>
            <w:r>
              <w:t>где</w:t>
            </w:r>
          </w:p>
        </w:tc>
        <w:tc>
          <w:tcPr>
            <w:tcW w:w="8356" w:type="dxa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(4.17)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161A1A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c"/>
      </w:pPr>
    </w:p>
    <w:p w:rsidR="006442FF" w:rsidRDefault="006442FF" w:rsidP="000D2CC1">
      <w:r>
        <w:t>В следующей таблице 5 приведены исходные данные для расчета экономического эффекта.</w:t>
      </w:r>
    </w:p>
    <w:p w:rsidR="006442FF" w:rsidRDefault="006442FF" w:rsidP="006442FF">
      <w:pPr>
        <w:pStyle w:val="afc"/>
        <w:ind w:firstLine="708"/>
      </w:pP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6442FF">
      <w:pPr>
        <w:ind w:firstLine="0"/>
      </w:pPr>
    </w:p>
    <w:p w:rsidR="006442FF" w:rsidRDefault="006442FF" w:rsidP="006442FF">
      <w:r>
        <w:tab/>
      </w:r>
    </w:p>
    <w:p w:rsidR="006442FF" w:rsidRDefault="00570C05" w:rsidP="006442FF">
      <w:pPr>
        <w:ind w:firstLine="0"/>
      </w:pPr>
      <w:r>
        <w:t xml:space="preserve">Таблица 5 </w:t>
      </w: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Обозна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3A7992">
        <w:trPr>
          <w:trHeight w:hRule="exact" w:val="823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76D30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3A7992">
        <w:trPr>
          <w:trHeight w:hRule="exact" w:val="258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Капитальные вло</w:t>
            </w:r>
            <w:r>
              <w:t>жения, включая зат</w:t>
            </w:r>
            <w:r w:rsidRPr="00C223BD">
              <w:t>раты пользователя 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Договор за</w:t>
            </w:r>
            <w:r>
              <w:t>казчика с раз</w:t>
            </w:r>
            <w:r w:rsidRPr="00C223BD">
              <w:t>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145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З</w:t>
            </w:r>
            <w:r w:rsidRPr="00C223BD">
              <w:t>атраты на сопровождение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Договор заказчика с разработчи</w:t>
            </w:r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B76D30">
            <w:pPr>
              <w:pStyle w:val="aff"/>
            </w:pPr>
            <w:r w:rsidRPr="00C223BD">
              <w:lastRenderedPageBreak/>
              <w:t>Время простоя сервиса, обусловленное 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мин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6442FF" w:rsidRPr="00C223BD" w:rsidTr="003A7992">
        <w:trPr>
          <w:trHeight w:hRule="exact" w:val="183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Стоимость 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</w:tbl>
    <w:p w:rsidR="00017136" w:rsidRDefault="00017136"/>
    <w:p w:rsidR="00017136" w:rsidRDefault="00017136"/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5.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hRule="exact" w:val="1609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Расчетные</w:t>
            </w:r>
          </w:p>
          <w:p w:rsidR="006442FF" w:rsidRPr="00C223BD" w:rsidRDefault="006442FF" w:rsidP="00B76D30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6442FF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B76D30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B76D30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017136" w:rsidRPr="00C223BD" w:rsidRDefault="00017136" w:rsidP="00B76D30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lastRenderedPageBreak/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B76D30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>
        <w:t>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6442FF">
      <w:pPr>
        <w:spacing w:line="276" w:lineRule="auto"/>
        <w:ind w:firstLine="0"/>
        <w:jc w:val="left"/>
      </w:pPr>
      <w:r>
        <w:t>Таблица 6 – Расчёт капитальных затрат.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6442FF" w:rsidTr="003A7992">
        <w:trPr>
          <w:trHeight w:val="48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933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3A7992">
        <w:trPr>
          <w:trHeight w:val="366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использованием нового ПС</w:t>
            </w:r>
          </w:p>
        </w:tc>
        <w:tc>
          <w:tcPr>
            <w:tcW w:w="2933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lastRenderedPageBreak/>
              <w:t>Экономия затрат на заработную плату в расчёте на 1 задачу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</w:tbl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6.</w:t>
      </w:r>
    </w:p>
    <w:p w:rsidR="007C7E01" w:rsidRDefault="007C7E01" w:rsidP="00017136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570C05" w:rsidTr="007C7E01">
        <w:trPr>
          <w:trHeight w:val="2003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>
              <w:rPr>
                <w:lang w:val="en-US"/>
              </w:rPr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6442FF">
      <w:pPr>
        <w:spacing w:line="276" w:lineRule="auto"/>
        <w:ind w:firstLine="0"/>
        <w:jc w:val="left"/>
      </w:pPr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1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6442FF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>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6442FF" w:rsidRDefault="006442FF" w:rsidP="006442FF">
      <w:pPr>
        <w:pStyle w:val="afc"/>
      </w:pPr>
    </w:p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6442FF" w:rsidRDefault="006442FF" w:rsidP="006442FF">
      <w:pPr>
        <w:pStyle w:val="afc"/>
      </w:pPr>
    </w:p>
    <w:p w:rsidR="007C7E01" w:rsidRDefault="007C7E01" w:rsidP="006442FF">
      <w:pPr>
        <w:pStyle w:val="afc"/>
      </w:pPr>
    </w:p>
    <w:p w:rsidR="007C7E01" w:rsidRDefault="007C7E01" w:rsidP="006442FF">
      <w:pPr>
        <w:pStyle w:val="afc"/>
      </w:pPr>
    </w:p>
    <w:p w:rsidR="007C7E01" w:rsidRDefault="007C7E01" w:rsidP="006442FF">
      <w:pPr>
        <w:pStyle w:val="afc"/>
      </w:pPr>
    </w:p>
    <w:p w:rsidR="007C7E01" w:rsidRDefault="007C7E01" w:rsidP="006442FF">
      <w:pPr>
        <w:pStyle w:val="afc"/>
      </w:pPr>
    </w:p>
    <w:p w:rsidR="007C7E01" w:rsidRDefault="007C7E01" w:rsidP="006442FF">
      <w:pPr>
        <w:pStyle w:val="afc"/>
      </w:pPr>
    </w:p>
    <w:p w:rsidR="007C7E01" w:rsidRDefault="007C7E01" w:rsidP="006442FF">
      <w:pPr>
        <w:pStyle w:val="afc"/>
      </w:pPr>
    </w:p>
    <w:p w:rsidR="007C7E01" w:rsidRDefault="007C7E01" w:rsidP="006442FF">
      <w:pPr>
        <w:pStyle w:val="afc"/>
      </w:pPr>
    </w:p>
    <w:p w:rsidR="007C7E01" w:rsidRDefault="007C7E01" w:rsidP="006442FF">
      <w:pPr>
        <w:pStyle w:val="afc"/>
      </w:pPr>
    </w:p>
    <w:p w:rsidR="006442FF" w:rsidRPr="001F720A" w:rsidRDefault="006442FF" w:rsidP="006442FF">
      <w:pPr>
        <w:pStyle w:val="a"/>
        <w:numPr>
          <w:ilvl w:val="0"/>
          <w:numId w:val="0"/>
        </w:numPr>
        <w:jc w:val="both"/>
      </w:pPr>
      <w:r>
        <w:t xml:space="preserve">Таблица </w:t>
      </w:r>
      <w:r w:rsidRPr="001F720A">
        <w:t>7</w:t>
      </w:r>
      <w:r>
        <w:t xml:space="preserve"> – Р</w:t>
      </w:r>
      <w:r w:rsidRPr="00C223BD">
        <w:t>асчет экономического эффекта от использования нового программного средства</w:t>
      </w:r>
      <w:r w:rsidRPr="001F720A">
        <w:t>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6442FF" w:rsidP="00B76D30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Сопровожде</w:t>
            </w:r>
            <w:r>
              <w:t>-</w:t>
            </w:r>
            <w:r w:rsidRPr="00C223BD">
              <w:t>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76D3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lastRenderedPageBreak/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</w:tbl>
    <w:p w:rsidR="007C7E01" w:rsidRDefault="007C7E01"/>
    <w:p w:rsidR="007C7E01" w:rsidRDefault="007C7E01"/>
    <w:p w:rsidR="007C7E01" w:rsidRDefault="007C7E01"/>
    <w:p w:rsidR="007C7E01" w:rsidRDefault="007C7E01"/>
    <w:p w:rsidR="007C7E01" w:rsidRDefault="007C7E01" w:rsidP="007C7E01">
      <w:pPr>
        <w:ind w:firstLine="0"/>
      </w:pPr>
      <w:r>
        <w:t>Продолжение таблицы 7.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6442FF" w:rsidRPr="005E6855" w:rsidRDefault="006442FF" w:rsidP="00B76D30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76D30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76D30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B4E12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623811">
      <w:pPr>
        <w:pStyle w:val="af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A565DD">
      <w:pPr>
        <w:pStyle w:val="af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 xml:space="preserve">отдельное издание / Кристин Хорсдал, </w:t>
      </w:r>
      <w:r w:rsidRPr="00B14E29">
        <w:br/>
        <w:t>Евгений Зазноба . – СПб.: 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3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>CLR via C#. Программирование на платформе Microsoft .NET Framework 4.0 на языке C#: отдельное издание / Джеффри Рихтер .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0B1DD1">
        <w:rPr>
          <w:rStyle w:val="posttitle-text"/>
        </w:rPr>
        <w:t>–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 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typeof(TRequest).Name,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typeof(TResponse).Name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foreach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methods.Add(method);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methods.Add(GetDisposeMethod());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SyntaxFactory.ParseTypeName(eventTypeName),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SyntaxFactory.SeparatedList(new[]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eventNamespacesWithMessageClass.Add(EventHandlerContainerFabric.ReturnNamespaceWithEventMessage(@event,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eventsDeclarations.Add(eventField);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eventsGetEventFromBackListenerMethods.Add(GetEventFromBackListenerDeclarationSyntax(@event));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usings.Add(generator.NamespaceImportDeclaration(eventMessageUsing));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SyntaxFactory.SeparatedList(new[]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fields.AddRange(new[]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busField,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interfaceTypes: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declarations.Add(namespaceDeclaration);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entryProjectAssembly,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neededAssemblies.AddRange(UsingsList);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CSharpCompilation.Create(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assemblyName,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GeneratedCodeFileOutput(className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StringBuilder();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foreach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GeneratedCodeFileOutput("GeneratorErrorOutput.cs",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SyntaxFactory.ParseStatement("_bus?.Dispose();");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private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parameterList: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yield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Directory.CreateDirectory(generationLogFileFolderPath);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while(File.Exists(pathToLogFile))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File.Delete(pathToLogFile);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Byte[]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fs.Write(info,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handlerMethod,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entryProjectAssembly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SyntaxFactory.Parameter(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modifiers: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constructorBody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if(eventInfoForCallSubscriber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constructorBody.Add(SyntaxFactory.ParseStatement(GetEventListenerMethodName(eventInfo)+"();"));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constructorParameters,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statements: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(!(response.Result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response.Result).ToObject&lt;{resultType}&gt;();");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methodStructure.ReturnTypeName.StartsWith("Task"))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Net.Derid.Interfaces.Models.Parameter()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$"_bus.Subscribe&lt;{info.Name}GeneratedMessageNamespace.EventMessageFor{info.Name}&gt;(x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3"/>
      </w:pPr>
    </w:p>
    <w:sectPr w:rsidR="00897169" w:rsidRPr="00F27362" w:rsidSect="008B31D9">
      <w:headerReference w:type="default" r:id="rId24"/>
      <w:footerReference w:type="default" r:id="rId25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931" w:rsidRDefault="008E6931" w:rsidP="00F25540">
      <w:r>
        <w:separator/>
      </w:r>
    </w:p>
  </w:endnote>
  <w:endnote w:type="continuationSeparator" w:id="0">
    <w:p w:rsidR="008E6931" w:rsidRDefault="008E6931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DC4556" w:rsidRDefault="00DC455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A24">
          <w:rPr>
            <w:noProof/>
          </w:rPr>
          <w:t>44</w:t>
        </w:r>
        <w:r>
          <w:fldChar w:fldCharType="end"/>
        </w:r>
      </w:p>
    </w:sdtContent>
  </w:sdt>
  <w:p w:rsidR="00DC4556" w:rsidRDefault="00DC45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931" w:rsidRDefault="008E6931" w:rsidP="00F25540">
      <w:r>
        <w:separator/>
      </w:r>
    </w:p>
  </w:footnote>
  <w:footnote w:type="continuationSeparator" w:id="0">
    <w:p w:rsidR="008E6931" w:rsidRDefault="008E6931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556" w:rsidRDefault="00DC4556">
    <w:pPr>
      <w:pStyle w:val="a7"/>
    </w:pPr>
  </w:p>
  <w:p w:rsidR="00DC4556" w:rsidRDefault="00DC45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C1E14"/>
    <w:rsid w:val="000C24E6"/>
    <w:rsid w:val="000C4B66"/>
    <w:rsid w:val="000D2CC1"/>
    <w:rsid w:val="000D4542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7211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54A4C"/>
    <w:rsid w:val="00256C84"/>
    <w:rsid w:val="00270138"/>
    <w:rsid w:val="002709EB"/>
    <w:rsid w:val="0027199F"/>
    <w:rsid w:val="002733AE"/>
    <w:rsid w:val="00287501"/>
    <w:rsid w:val="00292140"/>
    <w:rsid w:val="00297830"/>
    <w:rsid w:val="002B4F9B"/>
    <w:rsid w:val="002D50EE"/>
    <w:rsid w:val="002D60D6"/>
    <w:rsid w:val="002E0CB7"/>
    <w:rsid w:val="002E1BB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73D9"/>
    <w:rsid w:val="003D7835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539A6"/>
    <w:rsid w:val="00453DF3"/>
    <w:rsid w:val="004579CF"/>
    <w:rsid w:val="004626F1"/>
    <w:rsid w:val="00462D0C"/>
    <w:rsid w:val="0046305A"/>
    <w:rsid w:val="00463DFD"/>
    <w:rsid w:val="00463EDB"/>
    <w:rsid w:val="00475EED"/>
    <w:rsid w:val="00482DB4"/>
    <w:rsid w:val="00496B37"/>
    <w:rsid w:val="0049717D"/>
    <w:rsid w:val="0049735D"/>
    <w:rsid w:val="004A2D15"/>
    <w:rsid w:val="004B0D93"/>
    <w:rsid w:val="004B11E7"/>
    <w:rsid w:val="004B1C86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64358"/>
    <w:rsid w:val="00570C05"/>
    <w:rsid w:val="00572F26"/>
    <w:rsid w:val="00581CB5"/>
    <w:rsid w:val="00593795"/>
    <w:rsid w:val="00594AE3"/>
    <w:rsid w:val="00595CD0"/>
    <w:rsid w:val="005B40F1"/>
    <w:rsid w:val="005B5839"/>
    <w:rsid w:val="005D2D7A"/>
    <w:rsid w:val="005D5385"/>
    <w:rsid w:val="005E3967"/>
    <w:rsid w:val="005E75CA"/>
    <w:rsid w:val="005F254B"/>
    <w:rsid w:val="005F71FC"/>
    <w:rsid w:val="006007FD"/>
    <w:rsid w:val="00606756"/>
    <w:rsid w:val="00607AD2"/>
    <w:rsid w:val="006234BE"/>
    <w:rsid w:val="00623811"/>
    <w:rsid w:val="006259E6"/>
    <w:rsid w:val="006421DA"/>
    <w:rsid w:val="006442FF"/>
    <w:rsid w:val="00665B0A"/>
    <w:rsid w:val="00677222"/>
    <w:rsid w:val="006820D7"/>
    <w:rsid w:val="006863AA"/>
    <w:rsid w:val="006866D5"/>
    <w:rsid w:val="00690691"/>
    <w:rsid w:val="006913CC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D417C"/>
    <w:rsid w:val="006E16C7"/>
    <w:rsid w:val="006E39B7"/>
    <w:rsid w:val="006F06B1"/>
    <w:rsid w:val="006F47C8"/>
    <w:rsid w:val="007013EC"/>
    <w:rsid w:val="00701C37"/>
    <w:rsid w:val="007075A8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418C"/>
    <w:rsid w:val="007718DE"/>
    <w:rsid w:val="0077299C"/>
    <w:rsid w:val="00776FC3"/>
    <w:rsid w:val="00783456"/>
    <w:rsid w:val="0079258F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31E33"/>
    <w:rsid w:val="00840CE7"/>
    <w:rsid w:val="00842985"/>
    <w:rsid w:val="008540B9"/>
    <w:rsid w:val="00862FD7"/>
    <w:rsid w:val="0086673C"/>
    <w:rsid w:val="00876083"/>
    <w:rsid w:val="00884ACA"/>
    <w:rsid w:val="00892EBB"/>
    <w:rsid w:val="00897169"/>
    <w:rsid w:val="008A2CAE"/>
    <w:rsid w:val="008A5341"/>
    <w:rsid w:val="008B31D9"/>
    <w:rsid w:val="008B433B"/>
    <w:rsid w:val="008D5D80"/>
    <w:rsid w:val="008E1E56"/>
    <w:rsid w:val="008E4C38"/>
    <w:rsid w:val="008E6931"/>
    <w:rsid w:val="008E6D1A"/>
    <w:rsid w:val="00904E90"/>
    <w:rsid w:val="00907179"/>
    <w:rsid w:val="0090720E"/>
    <w:rsid w:val="00911EF0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A028CB"/>
    <w:rsid w:val="00A02968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C674E"/>
    <w:rsid w:val="00AC72D1"/>
    <w:rsid w:val="00AC7E33"/>
    <w:rsid w:val="00AD1FC8"/>
    <w:rsid w:val="00AE33CF"/>
    <w:rsid w:val="00AE4238"/>
    <w:rsid w:val="00AE6439"/>
    <w:rsid w:val="00AF0F8C"/>
    <w:rsid w:val="00AF7CD7"/>
    <w:rsid w:val="00B103AD"/>
    <w:rsid w:val="00B16599"/>
    <w:rsid w:val="00B207AD"/>
    <w:rsid w:val="00B24959"/>
    <w:rsid w:val="00B33D6D"/>
    <w:rsid w:val="00B34138"/>
    <w:rsid w:val="00B34B79"/>
    <w:rsid w:val="00B3621A"/>
    <w:rsid w:val="00B371CC"/>
    <w:rsid w:val="00B40953"/>
    <w:rsid w:val="00B46F33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C7689"/>
    <w:rsid w:val="00BC78EB"/>
    <w:rsid w:val="00BD1D2D"/>
    <w:rsid w:val="00BD4BA9"/>
    <w:rsid w:val="00BE7C0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A24A8"/>
    <w:rsid w:val="00CA278C"/>
    <w:rsid w:val="00CA75C7"/>
    <w:rsid w:val="00CB0192"/>
    <w:rsid w:val="00CB4E12"/>
    <w:rsid w:val="00CC496B"/>
    <w:rsid w:val="00CD3A24"/>
    <w:rsid w:val="00CD6B52"/>
    <w:rsid w:val="00CE4005"/>
    <w:rsid w:val="00CE4C2A"/>
    <w:rsid w:val="00CF1924"/>
    <w:rsid w:val="00D04D4B"/>
    <w:rsid w:val="00D062B0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2970"/>
    <w:rsid w:val="00E44281"/>
    <w:rsid w:val="00E56E5F"/>
    <w:rsid w:val="00E60613"/>
    <w:rsid w:val="00E60B6C"/>
    <w:rsid w:val="00E63544"/>
    <w:rsid w:val="00E65816"/>
    <w:rsid w:val="00E65853"/>
    <w:rsid w:val="00E66897"/>
    <w:rsid w:val="00E704AC"/>
    <w:rsid w:val="00E74EE2"/>
    <w:rsid w:val="00E7753B"/>
    <w:rsid w:val="00E7794A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5F6"/>
    <w:rsid w:val="00F1565C"/>
    <w:rsid w:val="00F1591A"/>
    <w:rsid w:val="00F24C6F"/>
    <w:rsid w:val="00F25540"/>
    <w:rsid w:val="00F27362"/>
    <w:rsid w:val="00F31EF4"/>
    <w:rsid w:val="00F36232"/>
    <w:rsid w:val="00F4732A"/>
    <w:rsid w:val="00F57D4E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B6E63"/>
    <w:rsid w:val="00FB770B"/>
    <w:rsid w:val="00FC05ED"/>
    <w:rsid w:val="00FC4B8F"/>
    <w:rsid w:val="00FD2A48"/>
    <w:rsid w:val="00FD7FA1"/>
    <w:rsid w:val="00FE573F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6AA2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C32020"/>
    <w:pPr>
      <w:tabs>
        <w:tab w:val="right" w:leader="dot" w:pos="9344"/>
      </w:tabs>
      <w:spacing w:after="100"/>
      <w:ind w:left="220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7E7856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7E7856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376C33"/>
    <w:pPr>
      <w:spacing w:before="340" w:after="340" w:line="480" w:lineRule="auto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376C33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://rabbitmq.github.io/rabbitmq-dotnet-client/api/RabbitMQ.Client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E5"/>
    <w:rsid w:val="005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E4746612C94D18920D3567A4310130">
    <w:name w:val="5DE4746612C94D18920D3567A4310130"/>
    <w:rsid w:val="00550FE5"/>
  </w:style>
  <w:style w:type="paragraph" w:customStyle="1" w:styleId="48E968F62FBE42A4979336EDF7E44701">
    <w:name w:val="48E968F62FBE42A4979336EDF7E44701"/>
    <w:rsid w:val="00550FE5"/>
  </w:style>
  <w:style w:type="paragraph" w:customStyle="1" w:styleId="D6598777301049E5B060BF1402DC98F1">
    <w:name w:val="D6598777301049E5B060BF1402DC98F1"/>
    <w:rsid w:val="00550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E4290-933B-41EE-8BA6-5EEAF28F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78</Pages>
  <Words>17204</Words>
  <Characters>98069</Characters>
  <Application>Microsoft Office Word</Application>
  <DocSecurity>0</DocSecurity>
  <Lines>817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401</cp:revision>
  <dcterms:created xsi:type="dcterms:W3CDTF">2018-04-18T16:23:00Z</dcterms:created>
  <dcterms:modified xsi:type="dcterms:W3CDTF">2018-05-29T11:52:00Z</dcterms:modified>
</cp:coreProperties>
</file>