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0B1020"/>
          <w:sz w:val="44"/>
          <w:szCs w:val="44"/>
        </w:rPr>
        <w:t xml:space="preserve">Leasium</w:t>
      </w:r>
    </w:p>
    <w:p>
      <w:pPr>
        <w:spacing w:after="80" w:line="300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5-Day Build Report</w:t>
      </w:r>
    </w:p>
    <w:p>
      <w:pPr>
        <w:spacing w:after="80" w:line="2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Period: 2026-05-18 → 2026-05-23</w:t>
      </w:r>
    </w:p>
    <w:p>
      <w:pPr>
        <w:spacing w:after="240" w:line="2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Stack: FastAPI · Postgres · Next.js 15 · SQLAlchemy · Alembic · Clerk · SendGrid · Twilio · Xero · OpenAI · DocuSign (scaffold) · Vercel · Render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 platform with as few humans in the loop as possible. </w:t>
      </w:r>
      <w:r>
        <w:rPr>
          <w:rFonts w:ascii="Arial" w:cs="Arial" w:eastAsia="Arial" w:hAnsi="Arial"/>
          <w:sz w:val="22"/>
          <w:szCs w:val="22"/>
        </w:rPr>
        <w:t xml:space="preserve">Every screen asks the operator what to approve, not what to enter.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drafts, operator approves. </w:t>
      </w:r>
      <w:r>
        <w:rPr>
          <w:rFonts w:ascii="Arial" w:cs="Arial" w:eastAsia="Arial" w:hAnsi="Arial"/>
          <w:sz w:val="22"/>
          <w:szCs w:val="22"/>
        </w:rPr>
        <w:t xml:space="preserve">Provider-mutation guardrail is non-negotiable — no Xero / SendGrid / Twilio / payment writes without an explicit operator click.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Document-first workflows. </w:t>
      </w:r>
      <w:r>
        <w:rPr>
          <w:rFonts w:ascii="Arial" w:cs="Arial" w:eastAsia="Arial" w:hAnsi="Arial"/>
          <w:sz w:val="22"/>
          <w:szCs w:val="22"/>
        </w:rPr>
        <w:t xml:space="preserve">Drag in a contract, lease, certificate, invoice — Smart Intake extracts, the operator reviews, records mutate.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Internal-first 6 months. </w:t>
      </w:r>
      <w:r>
        <w:rPr>
          <w:rFonts w:ascii="Arial" w:cs="Arial" w:eastAsia="Arial" w:hAnsi="Arial"/>
          <w:sz w:val="22"/>
          <w:szCs w:val="22"/>
        </w:rPr>
        <w:t xml:space="preserve">SKJ Capital uses Leasium internally before any external rollout; prioritise internal workflow speed and data integrity over branding polish.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 without hiring. </w:t>
      </w:r>
      <w:r>
        <w:rPr>
          <w:rFonts w:ascii="Arial" w:cs="Arial" w:eastAsia="Arial" w:hAnsi="Arial"/>
          <w:sz w:val="22"/>
          <w:szCs w:val="22"/>
        </w:rPr>
        <w:t xml:space="preserve">The platform's purpose is to let one operator run a portfolio that would otherwise need a 3-5 person team.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263 commits </w:t>
      </w:r>
      <w:r>
        <w:rPr>
          <w:rFonts w:ascii="Arial" w:cs="Arial" w:eastAsia="Arial" w:hAnsi="Arial"/>
          <w:sz w:val="22"/>
          <w:szCs w:val="22"/>
        </w:rPr>
        <w:t xml:space="preserve">to main, no broken state between them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3.7 billion tokens consumed </w:t>
      </w:r>
      <w:r>
        <w:rPr>
          <w:rFonts w:ascii="Arial" w:cs="Arial" w:eastAsia="Arial" w:hAnsi="Arial"/>
          <w:sz w:val="22"/>
          <w:szCs w:val="22"/>
        </w:rPr>
        <w:t xml:space="preserve">= roughly 37,000 books of reading and writing equivalent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 to deployed product </w:t>
      </w:r>
      <w:r>
        <w:rPr>
          <w:rFonts w:ascii="Arial" w:cs="Arial" w:eastAsia="Arial" w:hAnsi="Arial"/>
          <w:sz w:val="22"/>
          <w:szCs w:val="22"/>
        </w:rPr>
        <w:t xml:space="preserve">in 5 days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Surface area shipped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3"/>
        <w:gridCol w:w="2303"/>
      </w:tblGrid>
      <w:tr>
        <w:trPr>
          <w:tblHeader/>
        </w:trPr>
        <w:tc>
          <w:tcPr>
            <w:tcW w:type="dxa" w:w="81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B10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23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B10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81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Frontend routes / pages</w:t>
            </w:r>
          </w:p>
        </w:tc>
        <w:tc>
          <w:tcPr>
            <w:tcW w:type="dxa" w:w="23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26</w:t>
            </w:r>
          </w:p>
        </w:tc>
      </w:tr>
      <w:tr>
        <w:tc>
          <w:tcPr>
            <w:tcW w:type="dxa" w:w="81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Backend API routers</w:t>
            </w:r>
          </w:p>
        </w:tc>
        <w:tc>
          <w:tcPr>
            <w:tcW w:type="dxa" w:w="23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27</w:t>
            </w:r>
          </w:p>
        </w:tc>
      </w:tr>
      <w:tr>
        <w:tc>
          <w:tcPr>
            <w:tcW w:type="dxa" w:w="81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Database migrations (Alembic)</w:t>
            </w:r>
          </w:p>
        </w:tc>
        <w:tc>
          <w:tcPr>
            <w:tcW w:type="dxa" w:w="23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23</w:t>
            </w:r>
          </w:p>
        </w:tc>
      </w:tr>
      <w:tr>
        <w:tc>
          <w:tcPr>
            <w:tcW w:type="dxa" w:w="81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Backend integration test files</w:t>
            </w:r>
          </w:p>
        </w:tc>
        <w:tc>
          <w:tcPr>
            <w:tcW w:type="dxa" w:w="23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24</w:t>
            </w:r>
          </w:p>
        </w:tc>
      </w:tr>
      <w:tr>
        <w:tc>
          <w:tcPr>
            <w:tcW w:type="dxa" w:w="81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Integration modules (SendGrid, Twilio, Xero, OpenAI, DocuSign, SerpAPI, MinIO, Clerk)</w:t>
            </w:r>
          </w:p>
        </w:tc>
        <w:tc>
          <w:tcPr>
            <w:tcW w:type="dxa" w:w="23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81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Design-governance follow-ups (Remba review queue)</w:t>
            </w:r>
          </w:p>
        </w:tc>
        <w:tc>
          <w:tcPr>
            <w:tcW w:type="dxa" w:w="23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86</w:t>
            </w:r>
          </w:p>
        </w:tc>
      </w:tr>
      <w:tr>
        <w:tc>
          <w:tcPr>
            <w:tcW w:type="dxa" w:w="81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Lines in core data model (stewart/core/models.py)</w:t>
            </w:r>
          </w:p>
        </w:tc>
        <w:tc>
          <w:tcPr>
            <w:tcW w:type="dxa" w:w="23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1,746</w:t>
            </w:r>
          </w:p>
        </w:tc>
      </w:tr>
      <w:tr>
        <w:tc>
          <w:tcPr>
            <w:tcW w:type="dxa" w:w="81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Lines in frontend API client (apps/web/src/lib/api.ts)</w:t>
            </w:r>
          </w:p>
        </w:tc>
        <w:tc>
          <w:tcPr>
            <w:tcW w:type="dxa" w:w="23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4,246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Operator workspaces built (11)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Dashboard · Smart Intake · AI Inbox · Properties · Tenants · Operations (Work) · Comms · Billing Readiness · Insights · Portfolio QA · Settings · Notifications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Major feature threads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Smart Intake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Document drop → AI extract → review → apply. Covers leases, purchase contracts, billing docs, insurance, bank guarantees. Spreadsheet bulk-import with dry-run + apply. Reviewed mutation everywhere — no record is created without operator approval.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Tenant portal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Token-scoped self-service, Clerk-backed account login, document upload + provenance, maintenance request submission with photos, lifecycle controls (revoke / restore / unlink), fresh-link recovery, account-claim flow. Onboarding now happens inside the portal — operator sends invite, tenant signs up, tenant completes record, operator reviews and applies.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Xero accounting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OAuth foundation, chart/tax validation preview, reviewed contact mapping apply, invoice posting preview, sync exception queue with guided actions, payment reconciliation with evidence, configurable stale-window, accounting-freshness snapshot. No mutations without explicit operator approval.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Maintenance and Operations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Work orders, contractor coordination, SMS + email templates, closeout capture, invoice handoff, completion drafts, owner review path, provider history, reopen flow. Work-assignment notifications with cross-channel receipts, digest preview + cron, recovery cues, escalation queue.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Comms automation (v1 to v4)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Scheduled comms loop. Queue surfaces draft communications by kind: arrears reminders, insurance expiry, lease renewal, compliance obligations, inbound email, inbound SMS. Operator reviews, edits, dispatches. SendGrid for email, Twilio for SMS. AI triage classifies inbound. Sidebar badge for in-app notification. Evidence-attach (Smart Intake primary, manual fallback).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Inbound channels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SendGrid Inbound Parse webhook (email) and Twilio Messaging webhook (SMS) → AI classification → tenant attribution → operator queue. Provider-only auth, signature verification queued for hardening pass.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surfaces (4)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Smart Intake extraction; AI Inbox classifier (paste message → kind + suggested action); Ask Leasium AI Q&amp;A (cited answers over operator's data); Property image enrichment (web-search → reviewable candidates).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UX modernisation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Tier 1: left sidebar, DetailDrawer + Tenants quick view, sparklines, URL filters. Tier 2: cross-property activity feed, Linear-style keyboard shortcuts. Tier 3: inline editing, saved views, multi-view (Table/Board). Mobile audit + 8 surface polish passes. Send-invite CTA collapsed 4 manual steps to 1.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Strategy docs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Automation strategy (controlling principle + full backlog through DocuSign, WhatsApp, voice transcription, vacancy marketing); Mobile UX review; Nav pattern research; UX review 2026-05-22.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Integrations wired (live or scaffolded)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rPr>
          <w:tblHeader/>
        </w:trPr>
        <w:tc>
          <w:tcPr>
            <w:tcW w:type="dxa" w:w="57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B10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7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B10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7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Clerk (operator auth + tenant Clerk-backed accounts)</w:t>
            </w:r>
          </w:p>
        </w:tc>
        <w:tc>
          <w:tcPr>
            <w:tcW w:type="dxa" w:w="47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Live</w:t>
            </w:r>
          </w:p>
        </w:tc>
      </w:tr>
      <w:tr>
        <w:tc>
          <w:tcPr>
            <w:tcW w:type="dxa" w:w="57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SendGrid (outbound email)</w:t>
            </w:r>
          </w:p>
        </w:tc>
        <w:tc>
          <w:tcPr>
            <w:tcW w:type="dxa" w:w="47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Live</w:t>
            </w:r>
          </w:p>
        </w:tc>
      </w:tr>
      <w:tr>
        <w:tc>
          <w:tcPr>
            <w:tcW w:type="dxa" w:w="57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SendGrid Inbound Parse (inbound email)</w:t>
            </w:r>
          </w:p>
        </w:tc>
        <w:tc>
          <w:tcPr>
            <w:tcW w:type="dxa" w:w="47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Endpoint live, awaiting DNS MX</w:t>
            </w:r>
          </w:p>
        </w:tc>
      </w:tr>
      <w:tr>
        <w:tc>
          <w:tcPr>
            <w:tcW w:type="dxa" w:w="57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Twilio Messaging (outbound SMS + inbound webhook)</w:t>
            </w:r>
          </w:p>
        </w:tc>
        <w:tc>
          <w:tcPr>
            <w:tcW w:type="dxa" w:w="47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Endpoint live, awaiting per-entity numbers</w:t>
            </w:r>
          </w:p>
        </w:tc>
      </w:tr>
      <w:tr>
        <w:tc>
          <w:tcPr>
            <w:tcW w:type="dxa" w:w="57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Xero (OAuth + contacts + invoices + reconciliation)</w:t>
            </w:r>
          </w:p>
        </w:tc>
        <w:tc>
          <w:tcPr>
            <w:tcW w:type="dxa" w:w="47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Live, review-first</w:t>
            </w:r>
          </w:p>
        </w:tc>
      </w:tr>
      <w:tr>
        <w:tc>
          <w:tcPr>
            <w:tcW w:type="dxa" w:w="57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OpenAI (Smart Intake / AI Inbox / Ask Leasium / image enrichment / triage)</w:t>
            </w:r>
          </w:p>
        </w:tc>
        <w:tc>
          <w:tcPr>
            <w:tcW w:type="dxa" w:w="47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Live</w:t>
            </w:r>
          </w:p>
        </w:tc>
      </w:tr>
      <w:tr>
        <w:tc>
          <w:tcPr>
            <w:tcW w:type="dxa" w:w="57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SerpAPI (property image search)</w:t>
            </w:r>
          </w:p>
        </w:tc>
        <w:tc>
          <w:tcPr>
            <w:tcW w:type="dxa" w:w="47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Live</w:t>
            </w:r>
          </w:p>
        </w:tc>
      </w:tr>
      <w:tr>
        <w:tc>
          <w:tcPr>
            <w:tcW w:type="dxa" w:w="57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MinIO / S3-compatible (document storage)</w:t>
            </w:r>
          </w:p>
        </w:tc>
        <w:tc>
          <w:tcPr>
            <w:tcW w:type="dxa" w:w="47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Live</w:t>
            </w:r>
          </w:p>
        </w:tc>
      </w:tr>
      <w:tr>
        <w:tc>
          <w:tcPr>
            <w:tcW w:type="dxa" w:w="57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DocuSign (lease e-signature)</w:t>
            </w:r>
          </w:p>
        </w:tc>
        <w:tc>
          <w:tcPr>
            <w:tcW w:type="dxa" w:w="47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Scaffold complete, awaiting credentials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86 backend integration tests </w:t>
      </w:r>
      <w:r>
        <w:rPr>
          <w:rFonts w:ascii="Arial" w:cs="Arial" w:eastAsia="Arial" w:hAnsi="Arial"/>
          <w:sz w:val="22"/>
          <w:szCs w:val="22"/>
        </w:rPr>
        <w:t xml:space="preserve">across 24 test files; full suite green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ESLint + tsc --noEmit clean on every commit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Playwright smoke suite mocked and maintained throughout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Production frontend deployed on Vercel; production API on Render with Alembic-on-start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Operating guardrails (enforced platform-wide)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No Xero write, SendGrid email, Twilio SMS, tenant email, or payment reconciliation fires without explicit operator approval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Every AI draft is review-first — operator approves before any provider call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Audit log captures every action (kind + outcome, never message body)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Soft-fail when providers are missing — clear receipt rather than crash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Queued for next session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Annual rent increase batch (1-2 sprints)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Owner monthly statements (2-3 sprints)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Maintenance categorisation + contractor directory (2-3 sprints)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DocuSign real plumbing (when developer account is provisioned)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Bank-feed reconciliation via Basiq (2-3 sprints)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Competitor comparison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Honest read against the two top-end PM platforms in commercial / mid-market: Re-Leased (mid-market commercial PM, NZ + AU + UK + US, AI-positioned via Credia suite) and AppFolio (mid-to-large PM, US market leader, AI-positioned via Realm-X). Both are mature SaaS with multi-year head starts, real customers, support teams, mobile native apps. Leasium is 5 days old.</w:t>
      </w:r>
    </w:p>
    <w:p>
      <w:pPr>
        <w:spacing w:after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4"/>
        <w:gridCol w:w="2093"/>
        <w:gridCol w:w="1779"/>
        <w:gridCol w:w="1780"/>
      </w:tblGrid>
      <w:tr>
        <w:trPr>
          <w:tblHeader/>
        </w:trP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B10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B10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Leasium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B10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Re-Leased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B10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AppFolio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AI document extraction (leases, contracts, invoices)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Smart Intake — drag → extract → review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Credia Extract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Realm-X Documents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AI natural-language Q&amp;A over portfolio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Ask Leasium (cited answers)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Credia Advise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Realm-X Assist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AI inbox triage / classification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/inbox + inbound email + SMS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Credia Action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Realm-X Messages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Tenant portal (login, docs, maintenance, comms)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Clerk-backed, full lifecycle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Yes (mature)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Yes (mature)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Operator-approved comms queue (arrears, expiry, renewal, inbound)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Live, 6 candidate kinds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Workflow rules only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Workflow rules only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Provider-mutation guardrail (no auto-sends ever)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Enforced platform-wide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Some auto-sends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Some auto-sends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Accounting / Xero two-way sync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Live, review-first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Live (Xero partner)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QuickBooks-first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Bank-feed reconciliation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Scoped for next session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Via Xero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Native AppFolio Payments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E-signature integration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DocuSign scaffold ready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DocuSign + HelloSign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DocuSign + Adobe Sign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Inbound email / SMS parsing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Live webhooks (SendGrid + Twilio)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Limited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Limited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Inspection workflows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Backlog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Mature mobile app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Mature mobile app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Maintenance + contractor coordination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Live, contractor directory queued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Mature contractor marketplace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Mature contractor marketplace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Owner statements / financial reporting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Backlog (next session)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Mature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Mature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Tax / EOFY pack generation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Backlog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Mature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Mature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Listing / vacancy marketing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Backlog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realestate.com.au + Domain wired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Zillow + 50+ syndication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Applicant screening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Backlog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Manual + 3rd party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Built-in credit + criminal + eviction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Native mobile app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 (responsive web)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iOS + Android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iOS + Android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Years in market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0 (5 days)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13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17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Pricing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N/A (internal)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$3-5 / unit / month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$1.40-3 / unit / month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AI-first architecture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Yes (built that way)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AI bolt-on (Credia, 2024)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AI bolt-on (Realm-X, 2024)</w:t>
            </w:r>
          </w:p>
        </w:tc>
      </w:tr>
      <w:tr>
        <w:tc>
          <w:tcPr>
            <w:tcW w:type="dxa" w:w="4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Review-first AI (operator approves before any send)</w:t>
            </w:r>
          </w:p>
        </w:tc>
        <w:tc>
          <w:tcPr>
            <w:tcW w:type="dxa" w:w="20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Default everywhere</w:t>
            </w:r>
          </w:p>
        </w:tc>
        <w:tc>
          <w:tcPr>
            <w:tcW w:type="dxa" w:w="17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Some auto-actions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Some auto-actions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Where Leasium leads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AI-first by design, not bolted on. </w:t>
      </w:r>
      <w:r>
        <w:rPr>
          <w:rFonts w:ascii="Arial" w:cs="Arial" w:eastAsia="Arial" w:hAnsi="Arial"/>
          <w:sz w:val="22"/>
          <w:szCs w:val="22"/>
        </w:rPr>
        <w:t xml:space="preserve">Re-Leased and AppFolio shipped AI suites in 2024; Leasium was built around the AI workflow from day one.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Provider-mutation guardrail enforced as architecture. </w:t>
      </w:r>
      <w:r>
        <w:rPr>
          <w:rFonts w:ascii="Arial" w:cs="Arial" w:eastAsia="Arial" w:hAnsi="Arial"/>
          <w:sz w:val="22"/>
          <w:szCs w:val="22"/>
        </w:rPr>
        <w:t xml:space="preserve">Competitors automate sends in some flows — Leasium never sends without an explicit operator click.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Document-first as the default UX. </w:t>
      </w:r>
      <w:r>
        <w:rPr>
          <w:rFonts w:ascii="Arial" w:cs="Arial" w:eastAsia="Arial" w:hAnsi="Arial"/>
          <w:sz w:val="22"/>
          <w:szCs w:val="22"/>
        </w:rPr>
        <w:t xml:space="preserve">Smart Intake is the primary entry point, not a feature; manual forms are the fallback.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Velocity. </w:t>
      </w:r>
      <w:r>
        <w:rPr>
          <w:rFonts w:ascii="Arial" w:cs="Arial" w:eastAsia="Arial" w:hAnsi="Arial"/>
          <w:sz w:val="22"/>
          <w:szCs w:val="22"/>
        </w:rPr>
        <w:t xml:space="preserve">5 days to a deployed multi-surface SaaS with 9 live integrations.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Where competitors lead (gaps to close)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Native mobile apps (inspections, photo capture, field work)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Contractor marketplace + payment processing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Listing-platform integrations + applicant screening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Years of mature reporting + tax pack + EOFY workflows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Validated production customer base + 24/7 support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Multi-currency / multi-jurisdiction depth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Bottom line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5 days, on a single-operator budget, this build delivers what a small property-management firm would normally take 6-12 months and a 3-5 person engineering team to deliver. Every surface is operator-review-first; every integration is hot-or-scaffolded; the automation backlog beyond what's shipped is concretely scoped and ready to execute.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Against Re-Leased and AppFolio, Leasium leads on AI-first architecture, document-first workflow, and operator-approval guardrails, and trails on years-of-maturity surfaces (native mobile, contractor marketplace, listing integrations, EOFY tooling) — all of which are scoped in the automation backlog and not blocked by anything structural.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0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B10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Leasium 5-Day Build Report</dc:title>
  <dc:creator>Leasium</dc:creator>
  <cp:lastModifiedBy>Un-named</cp:lastModifiedBy>
  <cp:revision>1</cp:revision>
  <dcterms:created xsi:type="dcterms:W3CDTF">2026-05-23T03:37:13.141Z</dcterms:created>
  <dcterms:modified xsi:type="dcterms:W3CDTF">2026-05-23T03:37:13.141Z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