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center"/>
            </w:pPr>
            <w:r>
              <w:rPr>
                <w:rFonts w:ascii="Arial" w:cs="Arial" w:eastAsia="Arial" w:hAnsi="Arial"/>
                <w:b/>
                <w:bCs/>
                <w:color w:val="FFFFFF"/>
                <w:sz w:val="44"/>
                <w:szCs w:val="44"/>
              </w:rPr>
              <w:t xml:space="preserve">Indoor Ambient Solar-Powered</w:t>
            </w:r>
          </w:p>
          <w:p>
            <w:pPr>
              <w:jc w:val="center"/>
            </w:pPr>
            <w:r>
              <w:rPr>
                <w:rFonts w:ascii="Arial" w:cs="Arial" w:eastAsia="Arial" w:hAnsi="Arial"/>
                <w:b/>
                <w:bCs/>
                <w:color w:val="AADDFF"/>
                <w:sz w:val="44"/>
                <w:szCs w:val="44"/>
              </w:rPr>
              <w:t xml:space="preserve">Wireless Environmental Sensor Node</w:t>
            </w:r>
          </w:p>
          <w:p>
            <w:pPr>
              <w:spacing w:before="100"/>
              <w:jc w:val="center"/>
            </w:pPr>
            <w:r>
              <w:rPr>
                <w:rFonts w:ascii="Arial" w:cs="Arial" w:eastAsia="Arial" w:hAnsi="Arial"/>
                <w:i/>
                <w:iCs/>
                <w:color w:val="CCDDEE"/>
                <w:sz w:val="20"/>
                <w:szCs w:val="20"/>
              </w:rPr>
              <w:t xml:space="preserve">Temperature  ·  Humidity  ·  CO₂ (opt.)  ·  TVOC (opt.)  ·  Light  |  Long-Range Wireless  |  Zero Maintenance</w:t>
            </w:r>
          </w:p>
        </w:tc>
      </w:tr>
    </w:tbl>
    <w:p>
      <w:pPr>
        <w:spacing w:after="0" w:before="240"/>
      </w:pPr>
      <w:r>
        <w:t xml:space="preserve"/>
      </w:r>
    </w:p>
    <w:p>
      <w:pPr>
        <w:shd w:fill="1B3A5C" w:val="clear"/>
        <w:spacing w:after="120" w:before="240"/>
        <w:ind w:left="120" w:right="120"/>
      </w:pPr>
      <w:r>
        <w:rPr>
          <w:rFonts w:ascii="Arial" w:cs="Arial" w:eastAsia="Arial" w:hAnsi="Arial"/>
          <w:b/>
          <w:bCs/>
          <w:color w:val="FFFFFF"/>
          <w:sz w:val="22"/>
          <w:szCs w:val="22"/>
        </w:rPr>
        <w:t xml:space="preserve">OVERVIEW</w:t>
      </w:r>
    </w:p>
    <w:p>
      <w:pPr>
        <w:spacing w:after="60" w:before="60"/>
        <w:jc w:val="left"/>
      </w:pPr>
      <w:r>
        <w:rPr>
          <w:rFonts w:ascii="Arial" w:cs="Arial" w:eastAsia="Arial" w:hAnsi="Arial"/>
          <w:b w:val="false"/>
          <w:bCs w:val="false"/>
          <w:i w:val="false"/>
          <w:iCs w:val="false"/>
          <w:color w:val="1A1A1A"/>
          <w:sz w:val="20"/>
          <w:szCs w:val="20"/>
        </w:rPr>
        <w:t xml:space="preserve">The Temco Controls Indoor Ambient Solar-Powered Sensor Node is a maintenance-free wireless monitoring solution designed for buildings where running wire is impractical. It collects temperature, humidity, and optional CO₂, TVOC, and light data, then transmits all readings wirelessly via long-range radio to a paired Temco gateway.</w:t>
      </w:r>
    </w:p>
    <w:p>
      <w:pPr>
        <w:spacing w:after="0" w:before="80"/>
      </w:pPr>
      <w:r>
        <w:t xml:space="preserve"/>
      </w:r>
    </w:p>
    <w:p>
      <w:pPr>
        <w:spacing w:after="60" w:before="60"/>
        <w:jc w:val="left"/>
      </w:pPr>
      <w:r>
        <w:rPr>
          <w:rFonts w:ascii="Arial" w:cs="Arial" w:eastAsia="Arial" w:hAnsi="Arial"/>
          <w:b w:val="false"/>
          <w:bCs w:val="false"/>
          <w:i w:val="false"/>
          <w:iCs w:val="false"/>
          <w:color w:val="1A1A1A"/>
          <w:sz w:val="20"/>
          <w:szCs w:val="20"/>
        </w:rPr>
        <w:t xml:space="preserve">What makes this sensor unique is its specially tuned indoor solar cell. Unlike conventional solar panels designed for high-intensity outdoor sunlight, this cell is optimized for the frequency spectrum of indoor ambient light — including LED and fluorescent sources. As long as there is ordinary indoor lighting, the sensor charges and operates without batteries or maintenance.</w:t>
      </w:r>
    </w:p>
    <w:p>
      <w:pPr>
        <w:spacing w:after="0" w:before="80"/>
      </w:pPr>
      <w:r>
        <w:t xml:space="preserve"/>
      </w:r>
    </w:p>
    <w:p>
      <w:pPr>
        <w:spacing w:after="60" w:before="60"/>
        <w:jc w:val="left"/>
      </w:pPr>
      <w:r>
        <w:rPr>
          <w:rFonts w:ascii="Arial" w:cs="Arial" w:eastAsia="Arial" w:hAnsi="Arial"/>
          <w:b w:val="false"/>
          <w:bCs w:val="false"/>
          <w:i w:val="false"/>
          <w:iCs w:val="false"/>
          <w:color w:val="1A1A1A"/>
          <w:sz w:val="20"/>
          <w:szCs w:val="20"/>
        </w:rPr>
        <w:t xml:space="preserve">Energy is stored in a supercapacitor (or hybrid supercapacitor), not a rechargeable battery. This eliminates the need for battery replacement and allows the sensor to be shipped and installed without hazardous materials restrictions. Buildings can deploy large numbers of sensors with zero ongoing maintenance burden.</w:t>
      </w:r>
    </w:p>
    <w:p>
      <w:pPr>
        <w:spacing w:after="0" w:before="80"/>
      </w:pPr>
      <w:r>
        <w:t xml:space="preserve"/>
      </w:r>
    </w:p>
    <w:p>
      <w:pPr>
        <w:spacing w:after="60" w:before="60"/>
        <w:jc w:val="left"/>
      </w:pPr>
      <w:r>
        <w:rPr>
          <w:rFonts w:ascii="Arial" w:cs="Arial" w:eastAsia="Arial" w:hAnsi="Arial"/>
          <w:b w:val="false"/>
          <w:bCs w:val="false"/>
          <w:i w:val="false"/>
          <w:iCs w:val="false"/>
          <w:color w:val="1A1A1A"/>
          <w:sz w:val="20"/>
          <w:szCs w:val="20"/>
        </w:rPr>
        <w:t xml:space="preserve">The paired Temco gateway receives all wireless data and makes it available over BACnet and Modbus — the two dominant protocols in commercial building automation — as well as Ethernet and Wi-Fi. Data is logged to a SQL database through T3000, Temco's free, open-source software, which also supports trend graphing, floor-plan overlays, and email/alarm notifications.</w:t>
      </w:r>
    </w:p>
    <w:p>
      <w:pPr>
        <w:spacing w:after="0" w:before="200"/>
      </w:pPr>
      <w:r>
        <w:t xml:space="preserve"/>
      </w:r>
    </w:p>
    <w:p>
      <w:pPr>
        <w:shd w:fill="1B3A5C" w:val="clear"/>
        <w:spacing w:after="120" w:before="240"/>
        <w:ind w:left="120" w:right="120"/>
      </w:pPr>
      <w:r>
        <w:rPr>
          <w:rFonts w:ascii="Arial" w:cs="Arial" w:eastAsia="Arial" w:hAnsi="Arial"/>
          <w:b/>
          <w:bCs/>
          <w:color w:val="FFFFFF"/>
          <w:sz w:val="22"/>
          <w:szCs w:val="22"/>
        </w:rPr>
        <w:t xml:space="preserve">KEY HIGHLIGHTS</w:t>
      </w:r>
    </w:p>
    <w:p>
      <w:pPr>
        <w:pStyle w:val="ListParagraph"/>
        <w:numPr>
          <w:ilvl w:val="0"/>
          <w:numId w:val="2"/>
        </w:numPr>
        <w:spacing w:after="40" w:before="40"/>
      </w:pPr>
      <w:r>
        <w:rPr>
          <w:rFonts w:ascii="Arial" w:cs="Arial" w:eastAsia="Arial" w:hAnsi="Arial"/>
          <w:b w:val="false"/>
          <w:bCs w:val="false"/>
          <w:color w:val="1A1A1A"/>
          <w:sz w:val="20"/>
          <w:szCs w:val="20"/>
        </w:rPr>
        <w:t xml:space="preserve">Specially tuned indoor solar cell — operates under LED and fluorescent light (no outdoor sunlight required)</w:t>
      </w:r>
    </w:p>
    <w:p>
      <w:pPr>
        <w:pStyle w:val="ListParagraph"/>
        <w:numPr>
          <w:ilvl w:val="0"/>
          <w:numId w:val="2"/>
        </w:numPr>
        <w:spacing w:after="40" w:before="40"/>
      </w:pPr>
      <w:r>
        <w:rPr>
          <w:rFonts w:ascii="Arial" w:cs="Arial" w:eastAsia="Arial" w:hAnsi="Arial"/>
          <w:b w:val="false"/>
          <w:bCs w:val="false"/>
          <w:color w:val="1A1A1A"/>
          <w:sz w:val="20"/>
          <w:szCs w:val="20"/>
        </w:rPr>
        <w:t xml:space="preserve">Supercapacitor energy storage — no batteries, no maintenance, no shipping restrictions</w:t>
      </w:r>
    </w:p>
    <w:p>
      <w:pPr>
        <w:pStyle w:val="ListParagraph"/>
        <w:numPr>
          <w:ilvl w:val="0"/>
          <w:numId w:val="2"/>
        </w:numPr>
        <w:spacing w:after="40" w:before="40"/>
      </w:pPr>
      <w:r>
        <w:rPr>
          <w:rFonts w:ascii="Arial" w:cs="Arial" w:eastAsia="Arial" w:hAnsi="Arial"/>
          <w:b w:val="false"/>
          <w:bCs w:val="false"/>
          <w:color w:val="1A1A1A"/>
          <w:sz w:val="20"/>
          <w:szCs w:val="20"/>
        </w:rPr>
        <w:t xml:space="preserve">Long-range wireless — penetrates 10+ floors of wood or concrete construction; &gt; 1 km in open air</w:t>
      </w:r>
    </w:p>
    <w:p>
      <w:pPr>
        <w:pStyle w:val="ListParagraph"/>
        <w:numPr>
          <w:ilvl w:val="0"/>
          <w:numId w:val="2"/>
        </w:numPr>
        <w:spacing w:after="40" w:before="40"/>
      </w:pPr>
      <w:r>
        <w:rPr>
          <w:rFonts w:ascii="Arial" w:cs="Arial" w:eastAsia="Arial" w:hAnsi="Arial"/>
          <w:b w:val="false"/>
          <w:bCs w:val="false"/>
          <w:color w:val="1A1A1A"/>
          <w:sz w:val="20"/>
          <w:szCs w:val="20"/>
        </w:rPr>
        <w:t xml:space="preserve">Monitors temperature, humidity, CO₂* and TVOC* (optional), and ambient light level (* optional sensors)</w:t>
      </w:r>
    </w:p>
    <w:p>
      <w:pPr>
        <w:pStyle w:val="ListParagraph"/>
        <w:numPr>
          <w:ilvl w:val="0"/>
          <w:numId w:val="2"/>
        </w:numPr>
        <w:spacing w:after="40" w:before="40"/>
      </w:pPr>
      <w:r>
        <w:rPr>
          <w:rFonts w:ascii="Arial" w:cs="Arial" w:eastAsia="Arial" w:hAnsi="Arial"/>
          <w:b w:val="false"/>
          <w:bCs w:val="false"/>
          <w:color w:val="1A1A1A"/>
          <w:sz w:val="20"/>
          <w:szCs w:val="20"/>
        </w:rPr>
        <w:t xml:space="preserve">Mounts anywhere indoor light is present — truly ad-hoc, cable-free installation</w:t>
      </w:r>
    </w:p>
    <w:p>
      <w:pPr>
        <w:pStyle w:val="ListParagraph"/>
        <w:numPr>
          <w:ilvl w:val="0"/>
          <w:numId w:val="2"/>
        </w:numPr>
        <w:spacing w:after="40" w:before="40"/>
      </w:pPr>
      <w:r>
        <w:rPr>
          <w:rFonts w:ascii="Arial" w:cs="Arial" w:eastAsia="Arial" w:hAnsi="Arial"/>
          <w:b w:val="false"/>
          <w:bCs w:val="false"/>
          <w:color w:val="1A1A1A"/>
          <w:sz w:val="20"/>
          <w:szCs w:val="20"/>
        </w:rPr>
        <w:t xml:space="preserve">Gateway reports data over BACnet and Modbus to any standard building automation system</w:t>
      </w:r>
    </w:p>
    <w:p>
      <w:pPr>
        <w:pStyle w:val="ListParagraph"/>
        <w:numPr>
          <w:ilvl w:val="0"/>
          <w:numId w:val="2"/>
        </w:numPr>
        <w:spacing w:after="40" w:before="40"/>
      </w:pPr>
      <w:r>
        <w:rPr>
          <w:rFonts w:ascii="Arial" w:cs="Arial" w:eastAsia="Arial" w:hAnsi="Arial"/>
          <w:b w:val="false"/>
          <w:bCs w:val="false"/>
          <w:color w:val="1A1A1A"/>
          <w:sz w:val="20"/>
          <w:szCs w:val="20"/>
        </w:rPr>
        <w:t xml:space="preserve">Dual-interface gateway — Ethernet and Wi-Fi connectivity</w:t>
      </w:r>
    </w:p>
    <w:p>
      <w:pPr>
        <w:pStyle w:val="ListParagraph"/>
        <w:numPr>
          <w:ilvl w:val="0"/>
          <w:numId w:val="2"/>
        </w:numPr>
        <w:spacing w:after="40" w:before="40"/>
      </w:pPr>
      <w:r>
        <w:rPr>
          <w:rFonts w:ascii="Arial" w:cs="Arial" w:eastAsia="Arial" w:hAnsi="Arial"/>
          <w:b w:val="false"/>
          <w:bCs w:val="false"/>
          <w:color w:val="1A1A1A"/>
          <w:sz w:val="20"/>
          <w:szCs w:val="20"/>
        </w:rPr>
        <w:t xml:space="preserve">T3000 software is free and open-source — unlimited sensor trending, SQL logging, floor-plan views</w:t>
      </w:r>
    </w:p>
    <w:p>
      <w:pPr>
        <w:pStyle w:val="ListParagraph"/>
        <w:numPr>
          <w:ilvl w:val="0"/>
          <w:numId w:val="2"/>
        </w:numPr>
        <w:spacing w:after="40" w:before="40"/>
      </w:pPr>
      <w:r>
        <w:rPr>
          <w:rFonts w:ascii="Arial" w:cs="Arial" w:eastAsia="Arial" w:hAnsi="Arial"/>
          <w:b w:val="false"/>
          <w:bCs w:val="false"/>
          <w:color w:val="1A1A1A"/>
          <w:sz w:val="20"/>
          <w:szCs w:val="20"/>
        </w:rPr>
        <w:t xml:space="preserve">Email and alarm notifications when sensor thresholds are exceeded</w:t>
      </w:r>
    </w:p>
    <w:p>
      <w:pPr>
        <w:pStyle w:val="ListParagraph"/>
        <w:numPr>
          <w:ilvl w:val="0"/>
          <w:numId w:val="2"/>
        </w:numPr>
        <w:spacing w:after="40" w:before="40"/>
      </w:pPr>
      <w:r>
        <w:rPr>
          <w:rFonts w:ascii="Arial" w:cs="Arial" w:eastAsia="Arial" w:hAnsi="Arial"/>
          <w:b w:val="false"/>
          <w:bCs w:val="false"/>
          <w:color w:val="1A1A1A"/>
          <w:sz w:val="20"/>
          <w:szCs w:val="20"/>
        </w:rPr>
        <w:t xml:space="preserve">Onboard CPU intelligently manages power — automatically reduces reporting rate in low-light conditions</w:t>
      </w:r>
    </w:p>
    <w:p>
      <w:pPr>
        <w:spacing w:after="0" w:before="200"/>
      </w:pPr>
      <w:r>
        <w:t xml:space="preserve"/>
      </w:r>
    </w:p>
    <w:p>
      <w:pPr>
        <w:shd w:fill="1B3A5C" w:val="clear"/>
        <w:spacing w:after="120" w:before="240"/>
        <w:ind w:left="120" w:right="120"/>
      </w:pPr>
      <w:r>
        <w:rPr>
          <w:rFonts w:ascii="Arial" w:cs="Arial" w:eastAsia="Arial" w:hAnsi="Arial"/>
          <w:b/>
          <w:bCs/>
          <w:color w:val="FFFFFF"/>
          <w:sz w:val="22"/>
          <w:szCs w:val="22"/>
        </w:rPr>
        <w:t xml:space="preserve">SENSOR SPECIFICATIONS</w:t>
      </w:r>
    </w:p>
    <w:p>
      <w:pPr>
        <w:spacing w:after="60" w:before="60"/>
        <w:jc w:val="left"/>
      </w:pPr>
      <w:r>
        <w:rPr>
          <w:rFonts w:ascii="Arial" w:cs="Arial" w:eastAsia="Arial" w:hAnsi="Arial"/>
          <w:b w:val="false"/>
          <w:bCs w:val="false"/>
          <w:i/>
          <w:iCs/>
          <w:color w:val="555555"/>
          <w:sz w:val="20"/>
          <w:szCs w:val="20"/>
        </w:rPr>
        <w:t xml:space="preserve">All sensor data is transmitted wirelessly via long-range radio. There are no wired signal outputs.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1500"/>
        <w:gridCol w:w="12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Sensor</w:t>
            </w:r>
          </w:p>
        </w:tc>
        <w:tc>
          <w:tcPr>
            <w:tcW w:type="dxa" w:w="14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Range</w:t>
            </w:r>
          </w:p>
        </w:tc>
        <w:tc>
          <w:tcPr>
            <w:tcW w:type="dxa" w:w="14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Accuracy</w:t>
            </w:r>
          </w:p>
        </w:tc>
        <w:tc>
          <w:tcPr>
            <w:tcW w:type="dxa" w:w="16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Output / Interface</w:t>
            </w:r>
          </w:p>
        </w:tc>
        <w:tc>
          <w:tcPr>
            <w:tcW w:type="dxa" w:w="15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Response Time</w:t>
            </w:r>
          </w:p>
        </w:tc>
        <w:tc>
          <w:tcPr>
            <w:tcW w:type="dxa" w:w="12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Drift / Year</w:t>
            </w:r>
          </w:p>
        </w:tc>
      </w:tr>
      <w:tr>
        <w:tc>
          <w:tcPr>
            <w:tcW w:type="dxa" w:w="22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Temperature</w:t>
            </w:r>
          </w:p>
        </w:tc>
        <w:tc>
          <w:tcPr>
            <w:tcW w:type="dxa" w:w="14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-30 to +70 °C</w:t>
            </w:r>
          </w:p>
        </w:tc>
        <w:tc>
          <w:tcPr>
            <w:tcW w:type="dxa" w:w="14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±0.2 °C (5–60 °C)</w:t>
            </w:r>
          </w:p>
        </w:tc>
        <w:tc>
          <w:tcPr>
            <w:tcW w:type="dxa" w:w="16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LoRa wireless</w:t>
            </w:r>
          </w:p>
        </w:tc>
        <w:tc>
          <w:tcPr>
            <w:tcW w:type="dxa" w:w="1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10 s</w:t>
            </w:r>
          </w:p>
        </w:tc>
        <w:tc>
          <w:tcPr>
            <w:tcW w:type="dxa" w:w="126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±0.1 °C</w:t>
            </w:r>
          </w:p>
        </w:tc>
      </w:tr>
      <w:tr>
        <w:tc>
          <w:tcPr>
            <w:tcW w:type="dxa" w:w="2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Relative Humidity</w:t>
            </w:r>
          </w:p>
        </w:tc>
        <w:tc>
          <w:tcPr>
            <w:tcW w:type="dxa" w:w="14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0–100% RH</w:t>
            </w:r>
          </w:p>
        </w:tc>
        <w:tc>
          <w:tcPr>
            <w:tcW w:type="dxa" w:w="14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±2 % (0–90 %)</w:t>
            </w:r>
          </w:p>
        </w:tc>
        <w:tc>
          <w:tcPr>
            <w:tcW w:type="dxa" w:w="16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LoRa wireless</w:t>
            </w:r>
          </w:p>
        </w:tc>
        <w:tc>
          <w:tcPr>
            <w:tcW w:type="dxa" w:w="1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10 s</w:t>
            </w:r>
          </w:p>
        </w:tc>
        <w:tc>
          <w:tcPr>
            <w:tcW w:type="dxa" w:w="126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±0.5 %/yr</w:t>
            </w:r>
          </w:p>
        </w:tc>
      </w:tr>
      <w:tr>
        <w:tc>
          <w:tcPr>
            <w:tcW w:type="dxa" w:w="22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CO₂ (optional)</w:t>
            </w:r>
          </w:p>
        </w:tc>
        <w:tc>
          <w:tcPr>
            <w:tcW w:type="dxa" w:w="14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380–32,000 ppm</w:t>
            </w:r>
          </w:p>
        </w:tc>
        <w:tc>
          <w:tcPr>
            <w:tcW w:type="dxa" w:w="14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±(100 ppm + 10%)</w:t>
            </w:r>
          </w:p>
        </w:tc>
        <w:tc>
          <w:tcPr>
            <w:tcW w:type="dxa" w:w="16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LoRa wireless</w:t>
            </w:r>
          </w:p>
        </w:tc>
        <w:tc>
          <w:tcPr>
            <w:tcW w:type="dxa" w:w="1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20 s (τ63%)</w:t>
            </w:r>
          </w:p>
        </w:tc>
        <w:tc>
          <w:tcPr>
            <w:tcW w:type="dxa" w:w="126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1 ppm/yr</w:t>
            </w:r>
          </w:p>
        </w:tc>
      </w:tr>
      <w:tr>
        <w:tc>
          <w:tcPr>
            <w:tcW w:type="dxa" w:w="2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TVOC (optional)</w:t>
            </w:r>
          </w:p>
        </w:tc>
        <w:tc>
          <w:tcPr>
            <w:tcW w:type="dxa" w:w="14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0–60,000 ppb</w:t>
            </w:r>
          </w:p>
        </w:tc>
        <w:tc>
          <w:tcPr>
            <w:tcW w:type="dxa" w:w="14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Qualitative IAQ index</w:t>
            </w:r>
          </w:p>
        </w:tc>
        <w:tc>
          <w:tcPr>
            <w:tcW w:type="dxa" w:w="16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LoRa wireless</w:t>
            </w:r>
          </w:p>
        </w:tc>
        <w:tc>
          <w:tcPr>
            <w:tcW w:type="dxa" w:w="1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30 s</w:t>
            </w:r>
          </w:p>
        </w:tc>
        <w:tc>
          <w:tcPr>
            <w:tcW w:type="dxa" w:w="126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w:t>
            </w:r>
          </w:p>
        </w:tc>
      </w:tr>
      <w:tr>
        <w:tc>
          <w:tcPr>
            <w:tcW w:type="dxa" w:w="22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bCs/>
                <w:color w:val="1A1A1A"/>
                <w:sz w:val="18"/>
                <w:szCs w:val="18"/>
              </w:rPr>
              <w:t xml:space="preserve">Ambient Light</w:t>
            </w:r>
          </w:p>
        </w:tc>
        <w:tc>
          <w:tcPr>
            <w:tcW w:type="dxa" w:w="14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0–100,000 lux</w:t>
            </w:r>
          </w:p>
        </w:tc>
        <w:tc>
          <w:tcPr>
            <w:tcW w:type="dxa" w:w="14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±10 %</w:t>
            </w:r>
          </w:p>
        </w:tc>
        <w:tc>
          <w:tcPr>
            <w:tcW w:type="dxa" w:w="16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LoRa wireless</w:t>
            </w:r>
          </w:p>
        </w:tc>
        <w:tc>
          <w:tcPr>
            <w:tcW w:type="dxa" w:w="1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200 ms</w:t>
            </w:r>
          </w:p>
        </w:tc>
        <w:tc>
          <w:tcPr>
            <w:tcW w:type="dxa" w:w="126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w:t>
            </w:r>
          </w:p>
        </w:tc>
      </w:tr>
    </w:tbl>
    <w:p>
      <w:pPr>
        <w:spacing w:after="0" w:before="80"/>
      </w:pPr>
      <w:r>
        <w:t xml:space="preserve"/>
      </w:r>
    </w:p>
    <w:p>
      <w:pPr>
        <w:spacing w:after="60" w:before="60"/>
        <w:jc w:val="left"/>
      </w:pPr>
      <w:r>
        <w:rPr>
          <w:rFonts w:ascii="Arial" w:cs="Arial" w:eastAsia="Arial" w:hAnsi="Arial"/>
          <w:b w:val="false"/>
          <w:bCs w:val="false"/>
          <w:i/>
          <w:iCs/>
          <w:color w:val="555555"/>
          <w:sz w:val="18"/>
          <w:szCs w:val="18"/>
        </w:rPr>
        <w:t xml:space="preserve">* CO₂ and TVOC are optional sensors. TVOC readings are expressed as an Indoor Air Quality (IAQ) index based on total volatile organic compounds measured by a production-calibrated Sensirion SGP sensor.</w:t>
      </w:r>
    </w:p>
    <w:p>
      <w:pPr>
        <w:spacing w:after="0" w:before="200"/>
      </w:pPr>
      <w:r>
        <w:t xml:space="preserve"/>
      </w:r>
    </w:p>
    <w:p>
      <w:pPr>
        <w:shd w:fill="1B3A5C" w:val="clear"/>
        <w:spacing w:after="120" w:before="240"/>
        <w:ind w:left="120" w:right="120"/>
      </w:pPr>
      <w:r>
        <w:rPr>
          <w:rFonts w:ascii="Arial" w:cs="Arial" w:eastAsia="Arial" w:hAnsi="Arial"/>
          <w:b/>
          <w:bCs/>
          <w:color w:val="FFFFFF"/>
          <w:sz w:val="22"/>
          <w:szCs w:val="22"/>
        </w:rPr>
        <w:t xml:space="preserve">GATEWAY &amp; RADIO SPECIFICATIONS</w:t>
      </w:r>
    </w:p>
    <w:p>
      <w:pPr>
        <w:spacing w:after="60" w:before="60"/>
        <w:jc w:val="left"/>
      </w:pPr>
      <w:r>
        <w:rPr>
          <w:rFonts w:ascii="Arial" w:cs="Arial" w:eastAsia="Arial" w:hAnsi="Arial"/>
          <w:b w:val="false"/>
          <w:bCs w:val="false"/>
          <w:i w:val="false"/>
          <w:iCs w:val="false"/>
          <w:color w:val="1A1A1A"/>
          <w:sz w:val="20"/>
          <w:szCs w:val="20"/>
        </w:rPr>
        <w:t xml:space="preserve">The sensor node requires the Temco gateway (contact Temco for current model name and ordering info). The gateway and sensor node are paired and work exclusively together — this is not a standard open protocol connection, ensuring reliable and secure communication.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Parameter</w:t>
            </w:r>
          </w:p>
        </w:tc>
        <w:tc>
          <w:tcPr>
            <w:tcW w:type="dxa" w:w="25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Value</w:t>
            </w:r>
          </w:p>
        </w:tc>
        <w:tc>
          <w:tcPr>
            <w:tcW w:type="dxa" w:w="33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Wireless Protocol</w:t>
            </w:r>
          </w:p>
        </w:tc>
        <w:tc>
          <w:tcPr>
            <w:tcW w:type="dxa" w:w="2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Long-Range (LoRa)</w:t>
            </w:r>
          </w:p>
        </w:tc>
        <w:tc>
          <w:tcPr>
            <w:tcW w:type="dxa" w:w="336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Sub-GHz, high penetration</w:t>
            </w:r>
          </w:p>
        </w:tc>
      </w:tr>
      <w:tr>
        <w:tc>
          <w:tcPr>
            <w:tcW w:type="dxa" w:w="3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TX Power</w:t>
            </w:r>
          </w:p>
        </w:tc>
        <w:tc>
          <w:tcPr>
            <w:tcW w:type="dxa" w:w="2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Up to 22 dBm</w:t>
            </w:r>
          </w:p>
        </w:tc>
        <w:tc>
          <w:tcPr>
            <w:tcW w:type="dxa" w:w="336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Configurable</w:t>
            </w:r>
          </w:p>
        </w:tc>
      </w:tr>
      <w:tr>
        <w:tc>
          <w:tcPr>
            <w:tcW w:type="dxa" w:w="3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Range — Open Air</w:t>
            </w:r>
          </w:p>
        </w:tc>
        <w:tc>
          <w:tcPr>
            <w:tcW w:type="dxa" w:w="2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&gt; 1 km</w:t>
            </w:r>
          </w:p>
        </w:tc>
        <w:tc>
          <w:tcPr>
            <w:tcW w:type="dxa" w:w="336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Line of sight</w:t>
            </w:r>
          </w:p>
        </w:tc>
      </w:tr>
      <w:tr>
        <w:tc>
          <w:tcPr>
            <w:tcW w:type="dxa" w:w="3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Range — Through Floors</w:t>
            </w:r>
          </w:p>
        </w:tc>
        <w:tc>
          <w:tcPr>
            <w:tcW w:type="dxa" w:w="2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Up to 10+ floors</w:t>
            </w:r>
          </w:p>
        </w:tc>
        <w:tc>
          <w:tcPr>
            <w:tcW w:type="dxa" w:w="336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Wood/concrete; rebar may vary</w:t>
            </w:r>
          </w:p>
        </w:tc>
      </w:tr>
      <w:tr>
        <w:tc>
          <w:tcPr>
            <w:tcW w:type="dxa" w:w="3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Gateway Connectivity</w:t>
            </w:r>
          </w:p>
        </w:tc>
        <w:tc>
          <w:tcPr>
            <w:tcW w:type="dxa" w:w="2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Ethernet + Wi-Fi</w:t>
            </w:r>
          </w:p>
        </w:tc>
        <w:tc>
          <w:tcPr>
            <w:tcW w:type="dxa" w:w="336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Dual interface</w:t>
            </w:r>
          </w:p>
        </w:tc>
      </w:tr>
      <w:tr>
        <w:tc>
          <w:tcPr>
            <w:tcW w:type="dxa" w:w="3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Protocols Supported</w:t>
            </w:r>
          </w:p>
        </w:tc>
        <w:tc>
          <w:tcPr>
            <w:tcW w:type="dxa" w:w="2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BACnet, Modbus</w:t>
            </w:r>
          </w:p>
        </w:tc>
        <w:tc>
          <w:tcPr>
            <w:tcW w:type="dxa" w:w="336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Industry standard building automation</w:t>
            </w:r>
          </w:p>
        </w:tc>
      </w:tr>
      <w:tr>
        <w:tc>
          <w:tcPr>
            <w:tcW w:type="dxa" w:w="3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Max Sensor Nodes</w:t>
            </w:r>
          </w:p>
        </w:tc>
        <w:tc>
          <w:tcPr>
            <w:tcW w:type="dxa" w:w="2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Contact Temco</w:t>
            </w:r>
          </w:p>
        </w:tc>
        <w:tc>
          <w:tcPr>
            <w:tcW w:type="dxa" w:w="336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Multi-node support</w:t>
            </w:r>
          </w:p>
        </w:tc>
      </w:tr>
      <w:tr>
        <w:tc>
          <w:tcPr>
            <w:tcW w:type="dxa" w:w="3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Operating Temperature</w:t>
            </w:r>
          </w:p>
        </w:tc>
        <w:tc>
          <w:tcPr>
            <w:tcW w:type="dxa" w:w="2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-40 to +85 °C</w:t>
            </w:r>
          </w:p>
        </w:tc>
        <w:tc>
          <w:tcPr>
            <w:tcW w:type="dxa" w:w="336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Electronics rating</w:t>
            </w:r>
          </w:p>
        </w:tc>
      </w:tr>
      <w:tr>
        <w:tc>
          <w:tcPr>
            <w:tcW w:type="dxa" w:w="3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Supply Voltage</w:t>
            </w:r>
          </w:p>
        </w:tc>
        <w:tc>
          <w:tcPr>
            <w:tcW w:type="dxa" w:w="2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3.0 – 3.6 V (typ. 3.3 V)</w:t>
            </w:r>
          </w:p>
        </w:tc>
        <w:tc>
          <w:tcPr>
            <w:tcW w:type="dxa" w:w="336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Internal regulated</w:t>
            </w:r>
          </w:p>
        </w:tc>
      </w:tr>
      <w:tr>
        <w:tc>
          <w:tcPr>
            <w:tcW w:type="dxa" w:w="3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Energy Storage</w:t>
            </w:r>
          </w:p>
        </w:tc>
        <w:tc>
          <w:tcPr>
            <w:tcW w:type="dxa" w:w="25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Supercapacitor / Hybrid</w:t>
            </w:r>
          </w:p>
        </w:tc>
        <w:tc>
          <w:tcPr>
            <w:tcW w:type="dxa" w:w="336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tcPr>
          <w:p>
            <w:r>
              <w:rPr>
                <w:rFonts w:ascii="Arial" w:cs="Arial" w:eastAsia="Arial" w:hAnsi="Arial"/>
                <w:color w:val="1A1A1A"/>
                <w:sz w:val="18"/>
                <w:szCs w:val="18"/>
              </w:rPr>
              <w:t xml:space="preserve">No battery — zero maintenance</w:t>
            </w:r>
          </w:p>
        </w:tc>
      </w:tr>
      <w:tr>
        <w:tc>
          <w:tcPr>
            <w:tcW w:type="dxa" w:w="3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Darkness Hold-up Time</w:t>
            </w:r>
          </w:p>
        </w:tc>
        <w:tc>
          <w:tcPr>
            <w:tcW w:type="dxa" w:w="250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TBD (confirm w/ hardware test)</w:t>
            </w:r>
          </w:p>
        </w:tc>
        <w:tc>
          <w:tcPr>
            <w:tcW w:type="dxa" w:w="3360"/>
            <w:tcBorders>
              <w:top w:val="single" w:color="BBBBBB" w:sz="2"/>
              <w:left w:val="single" w:color="BBBBBB" w:sz="2"/>
              <w:bottom w:val="single" w:color="BBBBBB" w:sz="2"/>
              <w:right w:val="single" w:color="BBBBBB" w:sz="2"/>
            </w:tcBorders>
            <w:shd w:fill="D6EAF8" w:val="clear"/>
            <w:tcMar>
              <w:top w:type="dxa" w:w="60"/>
              <w:left w:type="dxa" w:w="100"/>
              <w:bottom w:type="dxa" w:w="60"/>
              <w:right w:type="dxa" w:w="100"/>
            </w:tcMar>
          </w:tcPr>
          <w:p>
            <w:r>
              <w:rPr>
                <w:rFonts w:ascii="Arial" w:cs="Arial" w:eastAsia="Arial" w:hAnsi="Arial"/>
                <w:color w:val="1A1A1A"/>
                <w:sz w:val="18"/>
                <w:szCs w:val="18"/>
              </w:rPr>
              <w:t xml:space="preserve">Depends on reporting interval</w:t>
            </w:r>
          </w:p>
        </w:tc>
      </w:tr>
    </w:tbl>
    <w:p>
      <w:pPr>
        <w:spacing w:after="0" w:before="200"/>
      </w:pPr>
      <w:r>
        <w:t xml:space="preserve"/>
      </w:r>
    </w:p>
    <w:p>
      <w:pPr>
        <w:shd w:fill="1B3A5C" w:val="clear"/>
        <w:spacing w:after="120" w:before="240"/>
        <w:ind w:left="120" w:right="120"/>
      </w:pPr>
      <w:r>
        <w:rPr>
          <w:rFonts w:ascii="Arial" w:cs="Arial" w:eastAsia="Arial" w:hAnsi="Arial"/>
          <w:b/>
          <w:bCs/>
          <w:color w:val="FFFFFF"/>
          <w:sz w:val="22"/>
          <w:szCs w:val="22"/>
        </w:rPr>
        <w:t xml:space="preserve">INDOOR SOLAR &amp; ENERGY STORAGE</w:t>
      </w:r>
    </w:p>
    <w:p>
      <w:pPr>
        <w:spacing w:after="60" w:before="60"/>
        <w:jc w:val="left"/>
      </w:pPr>
      <w:r>
        <w:rPr>
          <w:rFonts w:ascii="Arial" w:cs="Arial" w:eastAsia="Arial" w:hAnsi="Arial"/>
          <w:b w:val="false"/>
          <w:bCs w:val="false"/>
          <w:i w:val="false"/>
          <w:iCs w:val="false"/>
          <w:color w:val="1A1A1A"/>
          <w:sz w:val="20"/>
          <w:szCs w:val="20"/>
        </w:rPr>
        <w:t xml:space="preserve">Conventional solar panels are tuned for the 400–700 nm visible spectrum at high irradiance (direct sunlight, ~1000 W/m²). Indoor LED and fluorescent lighting operates at much lower irradiance (~100–500 lux) with a shifted spectral profile. The solar cell in this sensor is specifically designed and tuned for these indoor-light frequencies, maximizing energy harvest under typical office, warehouse, or corridor lighting conditions.</w:t>
      </w:r>
    </w:p>
    <w:p>
      <w:pPr>
        <w:spacing w:after="0" w:before="80"/>
      </w:pPr>
      <w:r>
        <w:t xml:space="preserve"/>
      </w:r>
    </w:p>
    <w:p>
      <w:pPr>
        <w:spacing w:after="60" w:before="60"/>
        <w:jc w:val="left"/>
      </w:pPr>
      <w:r>
        <w:rPr>
          <w:rFonts w:ascii="Arial" w:cs="Arial" w:eastAsia="Arial" w:hAnsi="Arial"/>
          <w:b w:val="false"/>
          <w:bCs w:val="false"/>
          <w:i w:val="false"/>
          <w:iCs w:val="false"/>
          <w:color w:val="1A1A1A"/>
          <w:sz w:val="20"/>
          <w:szCs w:val="20"/>
        </w:rPr>
        <w:t xml:space="preserve">Energy is stored in a supercapacitor or hybrid supercapacitor — not a lithium battery. Key advantages:</w:t>
      </w:r>
    </w:p>
    <w:p>
      <w:pPr>
        <w:pStyle w:val="ListParagraph"/>
        <w:numPr>
          <w:ilvl w:val="0"/>
          <w:numId w:val="2"/>
        </w:numPr>
        <w:spacing w:after="40" w:before="40"/>
      </w:pPr>
      <w:r>
        <w:rPr>
          <w:rFonts w:ascii="Arial" w:cs="Arial" w:eastAsia="Arial" w:hAnsi="Arial"/>
          <w:b w:val="false"/>
          <w:bCs w:val="false"/>
          <w:color w:val="1A1A1A"/>
          <w:sz w:val="20"/>
          <w:szCs w:val="20"/>
        </w:rPr>
        <w:t xml:space="preserve">No battery replacement ever required</w:t>
      </w:r>
    </w:p>
    <w:p>
      <w:pPr>
        <w:pStyle w:val="ListParagraph"/>
        <w:numPr>
          <w:ilvl w:val="0"/>
          <w:numId w:val="2"/>
        </w:numPr>
        <w:spacing w:after="40" w:before="40"/>
      </w:pPr>
      <w:r>
        <w:rPr>
          <w:rFonts w:ascii="Arial" w:cs="Arial" w:eastAsia="Arial" w:hAnsi="Arial"/>
          <w:b w:val="false"/>
          <w:bCs w:val="false"/>
          <w:color w:val="1A1A1A"/>
          <w:sz w:val="20"/>
          <w:szCs w:val="20"/>
        </w:rPr>
        <w:t xml:space="preserve">Compliant with shipping regulations that restrict lithium batteries</w:t>
      </w:r>
    </w:p>
    <w:p>
      <w:pPr>
        <w:pStyle w:val="ListParagraph"/>
        <w:numPr>
          <w:ilvl w:val="0"/>
          <w:numId w:val="2"/>
        </w:numPr>
        <w:spacing w:after="40" w:before="40"/>
      </w:pPr>
      <w:r>
        <w:rPr>
          <w:rFonts w:ascii="Arial" w:cs="Arial" w:eastAsia="Arial" w:hAnsi="Arial"/>
          <w:b w:val="false"/>
          <w:bCs w:val="false"/>
          <w:color w:val="1A1A1A"/>
          <w:sz w:val="20"/>
          <w:szCs w:val="20"/>
        </w:rPr>
        <w:t xml:space="preserve">Acceptable in buildings with strict battery/chemical policies</w:t>
      </w:r>
    </w:p>
    <w:p>
      <w:pPr>
        <w:pStyle w:val="ListParagraph"/>
        <w:numPr>
          <w:ilvl w:val="0"/>
          <w:numId w:val="2"/>
        </w:numPr>
        <w:spacing w:after="40" w:before="40"/>
      </w:pPr>
      <w:r>
        <w:rPr>
          <w:rFonts w:ascii="Arial" w:cs="Arial" w:eastAsia="Arial" w:hAnsi="Arial"/>
          <w:b w:val="false"/>
          <w:bCs w:val="false"/>
          <w:color w:val="1A1A1A"/>
          <w:sz w:val="20"/>
          <w:szCs w:val="20"/>
        </w:rPr>
        <w:t xml:space="preserve">Automatically reduces reporting frequency when stored energy is low, then resumes normal operation when light returns</w:t>
      </w:r>
    </w:p>
    <w:p>
      <w:pPr>
        <w:spacing w:after="0" w:before="200"/>
      </w:pPr>
      <w:r>
        <w:t xml:space="preserve"/>
      </w:r>
    </w:p>
    <w:p>
      <w:pPr>
        <w:shd w:fill="1B3A5C" w:val="clear"/>
        <w:spacing w:after="120" w:before="240"/>
        <w:ind w:left="120" w:right="120"/>
      </w:pPr>
      <w:r>
        <w:rPr>
          <w:rFonts w:ascii="Arial" w:cs="Arial" w:eastAsia="Arial" w:hAnsi="Arial"/>
          <w:b/>
          <w:bCs/>
          <w:color w:val="FFFFFF"/>
          <w:sz w:val="22"/>
          <w:szCs w:val="22"/>
        </w:rPr>
        <w:t xml:space="preserve">HOW IT WORKS — TYPICAL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2E86AB" w:sz="6"/>
              <w:left w:val="single" w:color="2E86AB" w:sz="6"/>
              <w:bottom w:val="single" w:color="2E86AB" w:sz="6"/>
              <w:right w:val="single" w:color="2E86AB" w:sz="6"/>
            </w:tcBorders>
            <w:shd w:fill="2E86A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760"/>
            <w:tcBorders>
              <w:top w:val="single" w:color="2E86AB" w:sz="6"/>
              <w:left w:val="single" w:color="2E86AB" w:sz="6"/>
              <w:bottom w:val="single" w:color="2E86AB" w:sz="6"/>
              <w:right w:val="single" w:color="2E86AB" w:sz="6"/>
            </w:tcBorders>
            <w:shd w:fill="2E86AB" w:val="clear"/>
            <w:tcMar>
              <w:top w:type="dxa" w:w="80"/>
              <w:left w:type="dxa" w:w="120"/>
              <w:bottom w:type="dxa" w:w="80"/>
              <w:right w:type="dxa" w:w="120"/>
            </w:tcMar>
          </w:tcPr>
          <w:p>
            <w:r>
              <w:rPr>
                <w:rFonts w:ascii="Arial" w:cs="Arial" w:eastAsia="Arial" w:hAnsi="Arial"/>
                <w:b/>
                <w:bCs/>
                <w:color w:val="FFFFFF"/>
                <w:sz w:val="18"/>
                <w:szCs w:val="18"/>
              </w:rPr>
              <w:t xml:space="preserve">Step</w:t>
            </w:r>
          </w:p>
        </w:tc>
      </w:tr>
      <w:tr>
        <w:tc>
          <w:tcPr>
            <w:tcW w:type="dxa" w:w="600"/>
            <w:tcBorders>
              <w:top w:val="single" w:color="BBBBBB" w:sz="2"/>
              <w:left w:val="single" w:color="BBBBBB" w:sz="2"/>
              <w:bottom w:val="single" w:color="BBBBBB" w:sz="2"/>
              <w:right w:val="single" w:color="BBBBBB" w:sz="2"/>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1</w:t>
            </w:r>
          </w:p>
        </w:tc>
        <w:tc>
          <w:tcPr>
            <w:tcW w:type="dxa" w:w="876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rPr>
                <w:rFonts w:ascii="Arial" w:cs="Arial" w:eastAsia="Arial" w:hAnsi="Arial"/>
                <w:color w:val="1A1A1A"/>
                <w:sz w:val="18"/>
                <w:szCs w:val="18"/>
              </w:rPr>
              <w:t xml:space="preserve">Indoor ambient light charges the supercapacitor (no battery required)</w:t>
            </w:r>
          </w:p>
        </w:tc>
      </w:tr>
      <w:tr>
        <w:tc>
          <w:tcPr>
            <w:tcW w:type="dxa" w:w="600"/>
            <w:tcBorders>
              <w:top w:val="single" w:color="BBBBBB" w:sz="2"/>
              <w:left w:val="single" w:color="BBBBBB" w:sz="2"/>
              <w:bottom w:val="single" w:color="BBBBBB" w:sz="2"/>
              <w:right w:val="single" w:color="BBBBBB" w:sz="2"/>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2</w:t>
            </w:r>
          </w:p>
        </w:tc>
        <w:tc>
          <w:tcPr>
            <w:tcW w:type="dxa" w:w="8760"/>
            <w:tcBorders>
              <w:top w:val="single" w:color="BBBBBB" w:sz="2"/>
              <w:left w:val="single" w:color="BBBBBB" w:sz="2"/>
              <w:bottom w:val="single" w:color="BBBBBB" w:sz="2"/>
              <w:right w:val="single" w:color="BBBBBB" w:sz="2"/>
            </w:tcBorders>
            <w:shd w:fill="F2F4F6" w:val="clear"/>
            <w:tcMar>
              <w:top w:type="dxa" w:w="60"/>
              <w:left w:type="dxa" w:w="120"/>
              <w:bottom w:type="dxa" w:w="60"/>
              <w:right w:type="dxa" w:w="120"/>
            </w:tcMar>
          </w:tcPr>
          <w:p>
            <w:r>
              <w:rPr>
                <w:rFonts w:ascii="Arial" w:cs="Arial" w:eastAsia="Arial" w:hAnsi="Arial"/>
                <w:color w:val="1A1A1A"/>
                <w:sz w:val="18"/>
                <w:szCs w:val="18"/>
              </w:rPr>
              <w:t xml:space="preserve">Sensor node remains in deep low-power mode to maximize hold-up time</w:t>
            </w:r>
          </w:p>
        </w:tc>
      </w:tr>
      <w:tr>
        <w:tc>
          <w:tcPr>
            <w:tcW w:type="dxa" w:w="600"/>
            <w:tcBorders>
              <w:top w:val="single" w:color="BBBBBB" w:sz="2"/>
              <w:left w:val="single" w:color="BBBBBB" w:sz="2"/>
              <w:bottom w:val="single" w:color="BBBBBB" w:sz="2"/>
              <w:right w:val="single" w:color="BBBBBB" w:sz="2"/>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3</w:t>
            </w:r>
          </w:p>
        </w:tc>
        <w:tc>
          <w:tcPr>
            <w:tcW w:type="dxa" w:w="876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rPr>
                <w:rFonts w:ascii="Arial" w:cs="Arial" w:eastAsia="Arial" w:hAnsi="Arial"/>
                <w:color w:val="1A1A1A"/>
                <w:sz w:val="18"/>
                <w:szCs w:val="18"/>
              </w:rPr>
              <w:t xml:space="preserve">At the configured interval the node wakes up automatically</w:t>
            </w:r>
          </w:p>
        </w:tc>
      </w:tr>
      <w:tr>
        <w:tc>
          <w:tcPr>
            <w:tcW w:type="dxa" w:w="600"/>
            <w:tcBorders>
              <w:top w:val="single" w:color="BBBBBB" w:sz="2"/>
              <w:left w:val="single" w:color="BBBBBB" w:sz="2"/>
              <w:bottom w:val="single" w:color="BBBBBB" w:sz="2"/>
              <w:right w:val="single" w:color="BBBBBB" w:sz="2"/>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4</w:t>
            </w:r>
          </w:p>
        </w:tc>
        <w:tc>
          <w:tcPr>
            <w:tcW w:type="dxa" w:w="8760"/>
            <w:tcBorders>
              <w:top w:val="single" w:color="BBBBBB" w:sz="2"/>
              <w:left w:val="single" w:color="BBBBBB" w:sz="2"/>
              <w:bottom w:val="single" w:color="BBBBBB" w:sz="2"/>
              <w:right w:val="single" w:color="BBBBBB" w:sz="2"/>
            </w:tcBorders>
            <w:shd w:fill="F2F4F6" w:val="clear"/>
            <w:tcMar>
              <w:top w:type="dxa" w:w="60"/>
              <w:left w:type="dxa" w:w="120"/>
              <w:bottom w:type="dxa" w:w="60"/>
              <w:right w:type="dxa" w:w="120"/>
            </w:tcMar>
          </w:tcPr>
          <w:p>
            <w:r>
              <w:rPr>
                <w:rFonts w:ascii="Arial" w:cs="Arial" w:eastAsia="Arial" w:hAnsi="Arial"/>
                <w:color w:val="1A1A1A"/>
                <w:sz w:val="18"/>
                <w:szCs w:val="18"/>
              </w:rPr>
              <w:t xml:space="preserve">Active sensors are powered on; data is collected (temperature, humidity, CO₂*, TVOC*, light)</w:t>
            </w:r>
          </w:p>
        </w:tc>
      </w:tr>
      <w:tr>
        <w:tc>
          <w:tcPr>
            <w:tcW w:type="dxa" w:w="600"/>
            <w:tcBorders>
              <w:top w:val="single" w:color="BBBBBB" w:sz="2"/>
              <w:left w:val="single" w:color="BBBBBB" w:sz="2"/>
              <w:bottom w:val="single" w:color="BBBBBB" w:sz="2"/>
              <w:right w:val="single" w:color="BBBBBB" w:sz="2"/>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5</w:t>
            </w:r>
          </w:p>
        </w:tc>
        <w:tc>
          <w:tcPr>
            <w:tcW w:type="dxa" w:w="876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rPr>
                <w:rFonts w:ascii="Arial" w:cs="Arial" w:eastAsia="Arial" w:hAnsi="Arial"/>
                <w:color w:val="1A1A1A"/>
                <w:sz w:val="18"/>
                <w:szCs w:val="18"/>
              </w:rPr>
              <w:t xml:space="preserve">Data packet is sent wirelessly via long-range radio</w:t>
            </w:r>
          </w:p>
        </w:tc>
      </w:tr>
      <w:tr>
        <w:tc>
          <w:tcPr>
            <w:tcW w:type="dxa" w:w="600"/>
            <w:tcBorders>
              <w:top w:val="single" w:color="BBBBBB" w:sz="2"/>
              <w:left w:val="single" w:color="BBBBBB" w:sz="2"/>
              <w:bottom w:val="single" w:color="BBBBBB" w:sz="2"/>
              <w:right w:val="single" w:color="BBBBBB" w:sz="2"/>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6</w:t>
            </w:r>
          </w:p>
        </w:tc>
        <w:tc>
          <w:tcPr>
            <w:tcW w:type="dxa" w:w="8760"/>
            <w:tcBorders>
              <w:top w:val="single" w:color="BBBBBB" w:sz="2"/>
              <w:left w:val="single" w:color="BBBBBB" w:sz="2"/>
              <w:bottom w:val="single" w:color="BBBBBB" w:sz="2"/>
              <w:right w:val="single" w:color="BBBBBB" w:sz="2"/>
            </w:tcBorders>
            <w:shd w:fill="F2F4F6" w:val="clear"/>
            <w:tcMar>
              <w:top w:type="dxa" w:w="60"/>
              <w:left w:type="dxa" w:w="120"/>
              <w:bottom w:type="dxa" w:w="60"/>
              <w:right w:type="dxa" w:w="120"/>
            </w:tcMar>
          </w:tcPr>
          <w:p>
            <w:r>
              <w:rPr>
                <w:rFonts w:ascii="Arial" w:cs="Arial" w:eastAsia="Arial" w:hAnsi="Arial"/>
                <w:color w:val="1A1A1A"/>
                <w:sz w:val="18"/>
                <w:szCs w:val="18"/>
              </w:rPr>
              <w:t xml:space="preserve">Gateway receives the packet and maps values to T3 controller inputs</w:t>
            </w:r>
          </w:p>
        </w:tc>
      </w:tr>
      <w:tr>
        <w:tc>
          <w:tcPr>
            <w:tcW w:type="dxa" w:w="600"/>
            <w:tcBorders>
              <w:top w:val="single" w:color="BBBBBB" w:sz="2"/>
              <w:left w:val="single" w:color="BBBBBB" w:sz="2"/>
              <w:bottom w:val="single" w:color="BBBBBB" w:sz="2"/>
              <w:right w:val="single" w:color="BBBBBB" w:sz="2"/>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7</w:t>
            </w:r>
          </w:p>
        </w:tc>
        <w:tc>
          <w:tcPr>
            <w:tcW w:type="dxa" w:w="876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rPr>
                <w:rFonts w:ascii="Arial" w:cs="Arial" w:eastAsia="Arial" w:hAnsi="Arial"/>
                <w:color w:val="1A1A1A"/>
                <w:sz w:val="18"/>
                <w:szCs w:val="18"/>
              </w:rPr>
              <w:t xml:space="preserve">Data is available over BACnet, Modbus, Ethernet, or Wi-Fi</w:t>
            </w:r>
          </w:p>
        </w:tc>
      </w:tr>
      <w:tr>
        <w:tc>
          <w:tcPr>
            <w:tcW w:type="dxa" w:w="600"/>
            <w:tcBorders>
              <w:top w:val="single" w:color="BBBBBB" w:sz="2"/>
              <w:left w:val="single" w:color="BBBBBB" w:sz="2"/>
              <w:bottom w:val="single" w:color="BBBBBB" w:sz="2"/>
              <w:right w:val="single" w:color="BBBBBB" w:sz="2"/>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8</w:t>
            </w:r>
          </w:p>
        </w:tc>
        <w:tc>
          <w:tcPr>
            <w:tcW w:type="dxa" w:w="8760"/>
            <w:tcBorders>
              <w:top w:val="single" w:color="BBBBBB" w:sz="2"/>
              <w:left w:val="single" w:color="BBBBBB" w:sz="2"/>
              <w:bottom w:val="single" w:color="BBBBBB" w:sz="2"/>
              <w:right w:val="single" w:color="BBBBBB" w:sz="2"/>
            </w:tcBorders>
            <w:shd w:fill="F2F4F6" w:val="clear"/>
            <w:tcMar>
              <w:top w:type="dxa" w:w="60"/>
              <w:left w:type="dxa" w:w="120"/>
              <w:bottom w:type="dxa" w:w="60"/>
              <w:right w:type="dxa" w:w="120"/>
            </w:tcMar>
          </w:tcPr>
          <w:p>
            <w:r>
              <w:rPr>
                <w:rFonts w:ascii="Arial" w:cs="Arial" w:eastAsia="Arial" w:hAnsi="Arial"/>
                <w:color w:val="1A1A1A"/>
                <w:sz w:val="18"/>
                <w:szCs w:val="18"/>
              </w:rPr>
              <w:t xml:space="preserve">T3000 software logs readings to SQL database; alerts can be configured</w:t>
            </w:r>
          </w:p>
        </w:tc>
      </w:tr>
    </w:tbl>
    <w:p>
      <w:pPr>
        <w:spacing w:after="0" w:before="80"/>
      </w:pPr>
      <w:r>
        <w:t xml:space="preserve"/>
      </w:r>
    </w:p>
    <w:p>
      <w:pPr>
        <w:spacing w:after="60" w:before="60"/>
        <w:jc w:val="left"/>
      </w:pPr>
      <w:r>
        <w:rPr>
          <w:rFonts w:ascii="Arial" w:cs="Arial" w:eastAsia="Arial" w:hAnsi="Arial"/>
          <w:b w:val="false"/>
          <w:bCs w:val="false"/>
          <w:i w:val="false"/>
          <w:iCs w:val="false"/>
          <w:color w:val="1A1A1A"/>
          <w:sz w:val="20"/>
          <w:szCs w:val="20"/>
        </w:rPr>
        <w:t xml:space="preserve">The gateway exposes all sensor inputs to the T3 controller environment. From there, values flow over BACnet (common in HVAC/commercial buildings) or Modbus (common in industrial systems) to any connected building management system. T3000 can log an unlimited number of sensor readings for an unlimited duration — storage capacity is only limited by the connected hard drive.</w:t>
      </w:r>
    </w:p>
    <w:p>
      <w:pPr>
        <w:spacing w:after="0" w:before="200"/>
      </w:pPr>
      <w:r>
        <w:t xml:space="preserve"/>
      </w:r>
    </w:p>
    <w:p>
      <w:pPr>
        <w:shd w:fill="1B3A5C" w:val="clear"/>
        <w:spacing w:after="120" w:before="240"/>
        <w:ind w:left="120" w:right="120"/>
      </w:pPr>
      <w:r>
        <w:rPr>
          <w:rFonts w:ascii="Arial" w:cs="Arial" w:eastAsia="Arial" w:hAnsi="Arial"/>
          <w:b/>
          <w:bCs/>
          <w:color w:val="FFFFFF"/>
          <w:sz w:val="22"/>
          <w:szCs w:val="22"/>
        </w:rPr>
        <w:t xml:space="preserve">T3000 SOFTWARE — FREE &amp; OPEN SOURCE</w:t>
      </w:r>
    </w:p>
    <w:p>
      <w:pPr>
        <w:pStyle w:val="ListParagraph"/>
        <w:numPr>
          <w:ilvl w:val="0"/>
          <w:numId w:val="2"/>
        </w:numPr>
        <w:spacing w:after="40" w:before="40"/>
      </w:pPr>
      <w:r>
        <w:rPr>
          <w:rFonts w:ascii="Arial" w:cs="Arial" w:eastAsia="Arial" w:hAnsi="Arial"/>
          <w:b w:val="false"/>
          <w:bCs w:val="false"/>
          <w:color w:val="1A1A1A"/>
          <w:sz w:val="20"/>
          <w:szCs w:val="20"/>
        </w:rPr>
        <w:t xml:space="preserve">Download and use T3000 at no cost — no license fees, no subscriptions</w:t>
      </w:r>
    </w:p>
    <w:p>
      <w:pPr>
        <w:pStyle w:val="ListParagraph"/>
        <w:numPr>
          <w:ilvl w:val="0"/>
          <w:numId w:val="2"/>
        </w:numPr>
        <w:spacing w:after="40" w:before="40"/>
      </w:pPr>
      <w:r>
        <w:rPr>
          <w:rFonts w:ascii="Arial" w:cs="Arial" w:eastAsia="Arial" w:hAnsi="Arial"/>
          <w:b w:val="false"/>
          <w:bCs w:val="false"/>
          <w:color w:val="1A1A1A"/>
          <w:sz w:val="20"/>
          <w:szCs w:val="20"/>
        </w:rPr>
        <w:t xml:space="preserve">Live dashboard: view all sensor values in real time</w:t>
      </w:r>
    </w:p>
    <w:p>
      <w:pPr>
        <w:pStyle w:val="ListParagraph"/>
        <w:numPr>
          <w:ilvl w:val="0"/>
          <w:numId w:val="2"/>
        </w:numPr>
        <w:spacing w:after="40" w:before="40"/>
      </w:pPr>
      <w:r>
        <w:rPr>
          <w:rFonts w:ascii="Arial" w:cs="Arial" w:eastAsia="Arial" w:hAnsi="Arial"/>
          <w:b w:val="false"/>
          <w:bCs w:val="false"/>
          <w:color w:val="1A1A1A"/>
          <w:sz w:val="20"/>
          <w:szCs w:val="20"/>
        </w:rPr>
        <w:t xml:space="preserve">Trend logging: SQL database backend handles millions of records for large installations</w:t>
      </w:r>
    </w:p>
    <w:p>
      <w:pPr>
        <w:pStyle w:val="ListParagraph"/>
        <w:numPr>
          <w:ilvl w:val="0"/>
          <w:numId w:val="2"/>
        </w:numPr>
        <w:spacing w:after="40" w:before="40"/>
      </w:pPr>
      <w:r>
        <w:rPr>
          <w:rFonts w:ascii="Arial" w:cs="Arial" w:eastAsia="Arial" w:hAnsi="Arial"/>
          <w:b w:val="false"/>
          <w:bCs w:val="false"/>
          <w:color w:val="1A1A1A"/>
          <w:sz w:val="20"/>
          <w:szCs w:val="20"/>
        </w:rPr>
        <w:t xml:space="preserve">Floor-plan views: place sensor icons on building drawings and see live values</w:t>
      </w:r>
    </w:p>
    <w:p>
      <w:pPr>
        <w:pStyle w:val="ListParagraph"/>
        <w:numPr>
          <w:ilvl w:val="0"/>
          <w:numId w:val="2"/>
        </w:numPr>
        <w:spacing w:after="40" w:before="40"/>
      </w:pPr>
      <w:r>
        <w:rPr>
          <w:rFonts w:ascii="Arial" w:cs="Arial" w:eastAsia="Arial" w:hAnsi="Arial"/>
          <w:b w:val="false"/>
          <w:bCs w:val="false"/>
          <w:color w:val="1A1A1A"/>
          <w:sz w:val="20"/>
          <w:szCs w:val="20"/>
        </w:rPr>
        <w:t xml:space="preserve">Unlimited sensors, unlimited history (disk-space permitting)</w:t>
      </w:r>
    </w:p>
    <w:p>
      <w:pPr>
        <w:pStyle w:val="ListParagraph"/>
        <w:numPr>
          <w:ilvl w:val="0"/>
          <w:numId w:val="2"/>
        </w:numPr>
        <w:spacing w:after="40" w:before="40"/>
      </w:pPr>
      <w:r>
        <w:rPr>
          <w:rFonts w:ascii="Arial" w:cs="Arial" w:eastAsia="Arial" w:hAnsi="Arial"/>
          <w:b w:val="false"/>
          <w:bCs w:val="false"/>
          <w:color w:val="1A1A1A"/>
          <w:sz w:val="20"/>
          <w:szCs w:val="20"/>
        </w:rPr>
        <w:t xml:space="preserve">Email and push alerts: notify maintenance staff when CO₂, temperature, or humidity exceed setpoints</w:t>
      </w:r>
    </w:p>
    <w:p>
      <w:pPr>
        <w:pStyle w:val="ListParagraph"/>
        <w:numPr>
          <w:ilvl w:val="0"/>
          <w:numId w:val="2"/>
        </w:numPr>
        <w:spacing w:after="40" w:before="40"/>
      </w:pPr>
      <w:r>
        <w:rPr>
          <w:rFonts w:ascii="Arial" w:cs="Arial" w:eastAsia="Arial" w:hAnsi="Arial"/>
          <w:b w:val="false"/>
          <w:bCs w:val="false"/>
          <w:color w:val="1A1A1A"/>
          <w:sz w:val="20"/>
          <w:szCs w:val="20"/>
        </w:rPr>
        <w:t xml:space="preserve">All data accessible via BACnet and Modbus for integration with third-party BMS platforms</w:t>
      </w:r>
    </w:p>
    <w:p>
      <w:pPr>
        <w:spacing w:after="0" w:before="200"/>
      </w:pPr>
      <w:r>
        <w:t xml:space="preserve"/>
      </w:r>
    </w:p>
    <w:p>
      <w:pPr>
        <w:shd w:fill="1B3A5C" w:val="clear"/>
        <w:spacing w:after="120" w:before="240"/>
        <w:ind w:left="120" w:right="120"/>
      </w:pPr>
      <w:r>
        <w:rPr>
          <w:rFonts w:ascii="Arial" w:cs="Arial" w:eastAsia="Arial" w:hAnsi="Arial"/>
          <w:b/>
          <w:bCs/>
          <w:color w:val="FFFFFF"/>
          <w:sz w:val="22"/>
          <w:szCs w:val="22"/>
        </w:rPr>
        <w:t xml:space="preserve">INSTALLATION &amp; COMMISSIONING</w:t>
      </w:r>
    </w:p>
    <w:p>
      <w:pPr>
        <w:spacing w:after="60" w:before="60"/>
        <w:jc w:val="left"/>
      </w:pPr>
      <w:r>
        <w:rPr>
          <w:rFonts w:ascii="Arial" w:cs="Arial" w:eastAsia="Arial" w:hAnsi="Arial"/>
          <w:b w:val="false"/>
          <w:bCs w:val="false"/>
          <w:i w:val="false"/>
          <w:iCs w:val="false"/>
          <w:color w:val="1A1A1A"/>
          <w:sz w:val="20"/>
          <w:szCs w:val="20"/>
        </w:rPr>
        <w:t xml:space="preserve">Installation is straightforward — mount the sensor anywhere it receives consistent indoor light, then pair it with the Temco gateway.</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Mount the sensor node where indoor ambient light is present (ceiling, wall, or column)</w:t>
      </w:r>
    </w:p>
    <w:p>
      <w:pPr>
        <w:pStyle w:val="ListParagraph"/>
        <w:numPr>
          <w:ilvl w:val="0"/>
          <w:numId w:val="2"/>
        </w:numPr>
        <w:spacing w:after="40" w:before="40"/>
      </w:pPr>
      <w:r>
        <w:rPr>
          <w:rFonts w:ascii="Arial" w:cs="Arial" w:eastAsia="Arial" w:hAnsi="Arial"/>
          <w:b w:val="false"/>
          <w:bCs w:val="false"/>
          <w:color w:val="1A1A1A"/>
          <w:sz w:val="20"/>
          <w:szCs w:val="20"/>
        </w:rPr>
        <w:t xml:space="preserve">Avoid locations in permanent shadow unless a larger energy storage option is specified</w:t>
      </w:r>
    </w:p>
    <w:p>
      <w:pPr>
        <w:pStyle w:val="ListParagraph"/>
        <w:numPr>
          <w:ilvl w:val="0"/>
          <w:numId w:val="2"/>
        </w:numPr>
        <w:spacing w:after="40" w:before="40"/>
      </w:pPr>
      <w:r>
        <w:rPr>
          <w:rFonts w:ascii="Arial" w:cs="Arial" w:eastAsia="Arial" w:hAnsi="Arial"/>
          <w:b w:val="false"/>
          <w:bCs w:val="false"/>
          <w:color w:val="1A1A1A"/>
          <w:sz w:val="20"/>
          <w:szCs w:val="20"/>
        </w:rPr>
        <w:t xml:space="preserve">Power the Temco gateway and connect it to the network via Ethernet or Wi-Fi</w:t>
      </w:r>
    </w:p>
    <w:p>
      <w:pPr>
        <w:pStyle w:val="ListParagraph"/>
        <w:numPr>
          <w:ilvl w:val="0"/>
          <w:numId w:val="2"/>
        </w:numPr>
        <w:spacing w:after="40" w:before="40"/>
      </w:pPr>
      <w:r>
        <w:rPr>
          <w:rFonts w:ascii="Arial" w:cs="Arial" w:eastAsia="Arial" w:hAnsi="Arial"/>
          <w:b w:val="false"/>
          <w:bCs w:val="false"/>
          <w:color w:val="1A1A1A"/>
          <w:sz w:val="20"/>
          <w:szCs w:val="20"/>
        </w:rPr>
        <w:t xml:space="preserve">Pair the sensor node to the gateway using the firmware pairing procedure (see gateway setup guide)</w:t>
      </w:r>
    </w:p>
    <w:p>
      <w:pPr>
        <w:pStyle w:val="ListParagraph"/>
        <w:numPr>
          <w:ilvl w:val="0"/>
          <w:numId w:val="2"/>
        </w:numPr>
        <w:spacing w:after="40" w:before="40"/>
      </w:pPr>
      <w:r>
        <w:rPr>
          <w:rFonts w:ascii="Arial" w:cs="Arial" w:eastAsia="Arial" w:hAnsi="Arial"/>
          <w:b w:val="false"/>
          <w:bCs w:val="false"/>
          <w:color w:val="1A1A1A"/>
          <w:sz w:val="20"/>
          <w:szCs w:val="20"/>
        </w:rPr>
        <w:t xml:space="preserve">Confirm live values appear in T3000 before enabling trend log recording</w:t>
      </w:r>
    </w:p>
    <w:p>
      <w:pPr>
        <w:pStyle w:val="ListParagraph"/>
        <w:numPr>
          <w:ilvl w:val="0"/>
          <w:numId w:val="2"/>
        </w:numPr>
        <w:spacing w:after="40" w:before="40"/>
      </w:pPr>
      <w:r>
        <w:rPr>
          <w:rFonts w:ascii="Arial" w:cs="Arial" w:eastAsia="Arial" w:hAnsi="Arial"/>
          <w:b w:val="false"/>
          <w:bCs w:val="false"/>
          <w:color w:val="1A1A1A"/>
          <w:sz w:val="20"/>
          <w:szCs w:val="20"/>
        </w:rPr>
        <w:t xml:space="preserve">For long-term validation: record supercapacitor voltage, reporting interval, and packet reception quality over 24–48 hours</w:t>
      </w:r>
    </w:p>
    <w:p>
      <w:pPr>
        <w:spacing w:after="0" w:before="80"/>
      </w:pPr>
      <w:r>
        <w:t xml:space="preserve"/>
      </w:r>
    </w:p>
    <w:p>
      <w:pPr>
        <w:spacing w:after="60" w:before="60"/>
        <w:jc w:val="left"/>
      </w:pPr>
      <w:r>
        <w:rPr>
          <w:rFonts w:ascii="Arial" w:cs="Arial" w:eastAsia="Arial" w:hAnsi="Arial"/>
          <w:b w:val="false"/>
          <w:bCs w:val="false"/>
          <w:i/>
          <w:iCs/>
          <w:color w:val="555555"/>
          <w:sz w:val="18"/>
          <w:szCs w:val="18"/>
        </w:rPr>
        <w:t xml:space="preserve">Note: sensor configuration, reporting interval, and power behaviour may vary by firmware version. Contact Temco Controls for current firmware documentation.</w:t>
      </w:r>
    </w:p>
    <w:p>
      <w:pPr>
        <w:spacing w:after="0" w:before="200"/>
      </w:pPr>
      <w:r>
        <w:t xml:space="preserve"/>
      </w:r>
    </w:p>
    <w:p>
      <w:pPr>
        <w:shd w:fill="1B3A5C" w:val="clear"/>
        <w:spacing w:after="120" w:before="240"/>
        <w:ind w:left="120" w:right="120"/>
      </w:pPr>
      <w:r>
        <w:rPr>
          <w:rFonts w:ascii="Arial" w:cs="Arial" w:eastAsia="Arial" w:hAnsi="Arial"/>
          <w:b/>
          <w:bCs/>
          <w:color w:val="FFFFFF"/>
          <w:sz w:val="22"/>
          <w:szCs w:val="22"/>
        </w:rPr>
        <w:t xml:space="preserve">ORDERING INFORMATION</w:t>
      </w:r>
    </w:p>
    <w:p>
      <w:pPr>
        <w:spacing w:after="60" w:before="60"/>
        <w:jc w:val="left"/>
      </w:pPr>
      <w:r>
        <w:rPr>
          <w:rFonts w:ascii="Arial" w:cs="Arial" w:eastAsia="Arial" w:hAnsi="Arial"/>
          <w:b w:val="false"/>
          <w:bCs w:val="false"/>
          <w:i w:val="false"/>
          <w:iCs w:val="false"/>
          <w:color w:val="1A1A1A"/>
          <w:sz w:val="20"/>
          <w:szCs w:val="20"/>
        </w:rPr>
        <w:t xml:space="preserve">Contact Temco Controls for current part numbers, gateway model designation, optional sensor configurations, and volume pricing.</w:t>
      </w:r>
    </w:p>
    <w:p>
      <w:pPr>
        <w:spacing w:after="0" w:before="80"/>
      </w:pPr>
      <w:r>
        <w:t xml:space="preserve"/>
      </w:r>
    </w:p>
    <w:p>
      <w:pPr>
        <w:spacing w:after="60" w:before="60"/>
        <w:jc w:val="left"/>
      </w:pPr>
      <w:r>
        <w:rPr>
          <w:rFonts w:ascii="Arial" w:cs="Arial" w:eastAsia="Arial" w:hAnsi="Arial"/>
          <w:b/>
          <w:bCs/>
          <w:i w:val="false"/>
          <w:iCs w:val="false"/>
          <w:color w:val="2E86AB"/>
          <w:sz w:val="20"/>
          <w:szCs w:val="20"/>
        </w:rPr>
        <w:t xml:space="preserve">temcocontrols.com</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4"/>
      </w:pBdr>
    </w:pPr>
    <w:r>
      <w:rPr>
        <w:rFonts w:ascii="Arial" w:cs="Arial" w:eastAsia="Arial" w:hAnsi="Arial"/>
        <w:color w:val="888888"/>
        <w:sz w:val="16"/>
        <w:szCs w:val="16"/>
      </w:rPr>
      <w:t xml:space="preserve">© Temco Controls  |  temcocontrols.com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vAlign w:val="center"/>
        </w:tcPr>
        <w:p>
          <w:r>
            <w:rPr>
              <w:rFonts w:ascii="Arial" w:cs="Arial" w:eastAsia="Arial" w:hAnsi="Arial"/>
              <w:b/>
              <w:bCs/>
              <w:color w:val="FFFFFF"/>
              <w:sz w:val="28"/>
              <w:szCs w:val="28"/>
            </w:rPr>
            <w:t xml:space="preserve">TEMCO CONTROLS</w:t>
          </w:r>
        </w:p>
        <w:p>
          <w:r>
            <w:rPr>
              <w:rFonts w:ascii="Arial" w:cs="Arial" w:eastAsia="Arial" w:hAnsi="Arial"/>
              <w:color w:val="AACCEE"/>
              <w:sz w:val="18"/>
              <w:szCs w:val="18"/>
            </w:rPr>
            <w:t xml:space="preserve">Indoor Ambient Solar-Powered Environmental Sensor</w:t>
          </w:r>
        </w:p>
      </w:tc>
      <w:tc>
        <w:tcPr>
          <w:tcW w:type="dxa" w:w="2880"/>
          <w:tcBorders>
            <w:top w:val="none" w:color="FFFFFF" w:sz="0"/>
            <w:left w:val="none" w:color="FFFFFF" w:sz="0"/>
            <w:bottom w:val="none" w:color="FFFFFF" w:sz="0"/>
            <w:right w:val="none" w:color="FFFFFF" w:sz="0"/>
          </w:tcBorders>
          <w:shd w:fill="2E86AB" w:val="clear"/>
          <w:tcMar>
            <w:top w:type="dxa" w:w="120"/>
            <w:left w:type="dxa" w:w="200"/>
            <w:bottom w:type="dxa" w:w="120"/>
            <w:right w:type="dxa" w:w="200"/>
          </w:tcMar>
          <w:vAlign w:val="center"/>
        </w:tcPr>
        <w:p>
          <w:pPr>
            <w:jc w:val="right"/>
          </w:pPr>
          <w:r>
            <w:rPr>
              <w:rFonts w:ascii="Arial" w:cs="Arial" w:eastAsia="Arial" w:hAnsi="Arial"/>
              <w:b/>
              <w:bCs/>
              <w:color w:val="FFFFFF"/>
              <w:sz w:val="18"/>
              <w:szCs w:val="18"/>
            </w:rPr>
            <w:t xml:space="preserve">PRODUCT DATASHEET</w:t>
          </w:r>
        </w:p>
        <w:p>
          <w:pPr>
            <w:jc w:val="right"/>
          </w:pPr>
          <w:r>
            <w:rPr>
              <w:rFonts w:ascii="Arial" w:cs="Arial" w:eastAsia="Arial" w:hAnsi="Arial"/>
              <w:color w:val="DDEEFF"/>
              <w:sz w:val="16"/>
              <w:szCs w:val="16"/>
            </w:rPr>
            <w:t xml:space="preserve">Rev. 1.0  |  temcocontrols.com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2026-05-14T18:04:02.648Z</dcterms:created>
  <dcterms:modified xsi:type="dcterms:W3CDTF">2026-05-14T18:04:02.648Z</dcterms:modified>
</cp:coreProperties>
</file>

<file path=docProps/custom.xml><?xml version="1.0" encoding="utf-8"?>
<Properties xmlns="http://schemas.openxmlformats.org/officeDocument/2006/custom-properties" xmlns:vt="http://schemas.openxmlformats.org/officeDocument/2006/docPropsVTypes"/>
</file>