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20" w:line="219.1304347826087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3"/>
          <w:szCs w:val="33"/>
        </w:rPr>
      </w:pPr>
      <w:bookmarkStart w:colFirst="0" w:colLast="0" w:name="_gebbkspo2mr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3"/>
          <w:szCs w:val="33"/>
          <w:rtl w:val="0"/>
        </w:rPr>
        <w:t xml:space="preserve">T3 Controller SNMP MIB Definition (v5.0)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T3 Programmable Controller on ESP32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PLC Group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Manufacturer: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Temco Controls Ltd.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February 2026</w:t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20" w:line="296.47058823529414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</w:rPr>
      </w:pPr>
      <w:bookmarkStart w:colFirst="0" w:colLast="0" w:name="_gwbsubsny8t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1. Enterprise Identity &amp; OID Structure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T3 Controller has migrated from experimental OIDs to the officially assigned IANA Private Enterprise Number (PEN).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Official IANA PEN: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50523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Enterprise Root: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Product Series (T3):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sysObjectID: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1.3.6.1.4.1.50523.1.1</w:t>
      </w:r>
    </w:p>
    <w:p w:rsidR="00000000" w:rsidDel="00000000" w:rsidP="00000000" w:rsidRDefault="00000000" w:rsidRPr="00000000" w14:paraId="0000000D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20" w:line="296.47058823529414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</w:rPr>
      </w:pPr>
      <w:bookmarkStart w:colFirst="0" w:colLast="0" w:name="_wqhayol93o3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2. Updated Output Configuration (PWM Support)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cfgType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mapping (OID column .3) now includes support for Pulse Width Modulation.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Hardware Guard: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firmware will validate the physical pin capability before accepting a range change to 14 or 15. If unsupported, the agent returns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SNMP_ERR_BADVALUE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785"/>
        <w:gridCol w:w="3585"/>
        <w:gridCol w:w="1410"/>
        <w:tblGridChange w:id="0">
          <w:tblGrid>
            <w:gridCol w:w="930"/>
            <w:gridCol w:w="1785"/>
            <w:gridCol w:w="3585"/>
            <w:gridCol w:w="14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Range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Scaling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Binary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On/Off Relay or Open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 or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Analog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0-10V 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0.0 - 10.0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Analog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0-100% (Standard)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0.0 - 100.0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PWM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High-Freq Duty Cycle (0-100%)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0.0 - 100.0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Freq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High-Speed Pulse 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28">
      <w:pPr>
        <w:shd w:fill="f8fafd" w:val="clear"/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420" w:line="296.47058823529414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</w:rPr>
      </w:pPr>
      <w:bookmarkStart w:colFirst="0" w:colLast="0" w:name="_hcoozooi991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3. Autonomous Notifications (The "Master Trap")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eliminate constant polling and simplify NOC (Network Operations Center) integration, the T3 implements a "Master Trap" payload. Every notification is sent as a single v2c Trap containing a bundle of variable bindings (Varbinds).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Trap OID: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1.3.6.1.4.1.50523.1.0.1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(t3AlarmNotification)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120" w:before="420" w:line="332.3076923076922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xv9cxge1lnr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Trap Payload (Varbind List):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sysLocation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1.3.6.1.2.1.1.6.0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The physical site name (e.g., "Building B, Floor 4").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1.3.6.1.4.1.50523.1.4.1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A unique tracking ID to match "Set" and "Clear" events.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eventSet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1.3.6.1.4.1.50523.1.4.2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= Alarm Active,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= Alarm Cleared.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alarmType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1.3.6.1.4.1.50523.1.4.3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Contextual string (e.g., "AI1 Temperature High").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alarmValue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1.3.6.1.4.1.50523.1.4.4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The numeric value at the moment of the trigger.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sysTime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1.3.6.1.2.1.1.3.0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): Timestamp of the event.</w:t>
      </w:r>
    </w:p>
    <w:p w:rsidR="00000000" w:rsidDel="00000000" w:rsidP="00000000" w:rsidRDefault="00000000" w:rsidRPr="00000000" w14:paraId="00000034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420" w:line="296.47058823529414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</w:rPr>
      </w:pPr>
      <w:bookmarkStart w:colFirst="0" w:colLast="0" w:name="_vaz3iojw0ze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4. Implementation &amp; Memory Optimization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Virtual Table Mapping: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To prevent heap fragmentation and I2C instability, the SNMP agent uses a dynamic OID dispatcher. It does not pre-allocate 1,000 nodes; instead, it parses the Instance ID (1-64) at the time of the request to fetch data from the BACnet tables.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System Scalability: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number of Inputs, Outputs, and Variables is determined by the T3 logic engine. The SNMP agent dynamically reflects these changes without requiring a firmware re-compile.</w:t>
      </w:r>
    </w:p>
    <w:p w:rsidR="00000000" w:rsidDel="00000000" w:rsidP="00000000" w:rsidRDefault="00000000" w:rsidRPr="00000000" w14:paraId="00000038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20" w:line="296.47058823529414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</w:rPr>
      </w:pPr>
      <w:bookmarkStart w:colFirst="0" w:colLast="0" w:name="_kbgu0ynw63o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0"/>
          <w:szCs w:val="30"/>
          <w:rtl w:val="0"/>
        </w:rPr>
        <w:t xml:space="preserve">5. Standard Compliance &amp; Testing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MIB is designed for compatibility with industry-standard network management tools.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Required Testing Tools: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iReasoning MIB Browser (Professional):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For validating the Varbind bundles and OID paths.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Paessler PRTG: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For testing NOC-style dashboards and Trap receiver performance.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This implementation follows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SNMP v2c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protocol, supporting GetBulk operations for high-efficiency data retrieval.</w:t>
      </w:r>
    </w:p>
    <w:p w:rsidR="00000000" w:rsidDel="00000000" w:rsidP="00000000" w:rsidRDefault="00000000" w:rsidRPr="00000000" w14:paraId="0000003E">
      <w:pPr>
        <w:jc w:val="center"/>
        <w:rPr>
          <w:rFonts w:ascii="Verdana" w:cs="Verdana" w:eastAsia="Verdana" w:hAnsi="Verdana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Notes for developer Fazal: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.mib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source file to replace all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TEMCO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labels with the numeric ID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50523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Implement the hardware capability check in the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shd w:fill="e9eef6" w:val="clear"/>
          <w:rtl w:val="0"/>
        </w:rPr>
        <w:t xml:space="preserve">cfgType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write callback.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Ensure the Trap function uses a single PDU for all Varbinds to meet Tony's "NOC integration" requirement.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