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5F0E8"/>
  <w:body>
    <w:p>
      <w:pPr>
        <w:spacing w:after="80" w:before="0" w:line="312" w:lineRule="auto"/>
      </w:pPr>
      <w:r>
        <w:rPr>
          <w:rFonts w:ascii="DM Sans" w:hAnsi="DM Sans" w:cs="DM Sans"/>
          <w:b/>
          <w:i w:val="0"/>
          <w:color w:val="C9A84C"/>
          <w:sz w:val="16"/>
          <w:spacing w:val="40"/>
        </w:rPr>
        <w:t>A FREE LIGHTNING LESSON  |  PARTICIPANT HANDOUT</w:t>
      </w:r>
    </w:p>
    <w:p>
      <w:pPr>
        <w:spacing w:after="20" w:before="0" w:line="252" w:lineRule="auto"/>
      </w:pPr>
      <w:r>
        <w:rPr>
          <w:rFonts w:ascii="Cormorant Garamond" w:hAnsi="Cormorant Garamond" w:cs="Cormorant Garamond"/>
          <w:b w:val="0"/>
          <w:i w:val="0"/>
          <w:color w:val="0F2347"/>
          <w:sz w:val="44"/>
        </w:rPr>
        <w:t>Is Your Work Still Building You?</w:t>
      </w:r>
    </w:p>
    <w:p>
      <w:pPr>
        <w:spacing w:after="80" w:before="0" w:line="276" w:lineRule="auto"/>
      </w:pPr>
      <w:r>
        <w:rPr>
          <w:rFonts w:ascii="Cormorant Garamond" w:hAnsi="Cormorant Garamond" w:cs="Cormorant Garamond"/>
          <w:b w:val="0"/>
          <w:i/>
          <w:color w:val="4A4A4A"/>
          <w:sz w:val="28"/>
        </w:rPr>
        <w:t>Three Ways Capable Professionals Misread Their Position</w:t>
      </w:r>
    </w:p>
    <w:p>
      <w:pPr>
        <w:pBdr>
          <w:bottom w:val="single" w:sz="6" w:space="1" w:color="C9A84C"/>
        </w:pBdr>
        <w:spacing w:after="120"/>
      </w:pPr>
    </w:p>
    <w:p>
      <w:pPr>
        <w:spacing w:after="80" w:before="40" w:line="312" w:lineRule="auto"/>
      </w:pPr>
      <w:r>
        <w:rPr>
          <w:rFonts w:ascii="DM Sans" w:hAnsi="DM Sans" w:cs="DM Sans"/>
          <w:b/>
          <w:i w:val="0"/>
          <w:color w:val="C9A84C"/>
          <w:sz w:val="18"/>
          <w:spacing w:val="40"/>
        </w:rPr>
        <w:t>TWO WORDS FOR THE READING</w:t>
      </w:r>
    </w:p>
    <w:p>
      <w:pPr>
        <w:spacing w:after="40" w:before="0" w:line="288" w:lineRule="auto"/>
      </w:pPr>
      <w:r>
        <w:rPr>
          <w:rFonts w:ascii="DM Sans" w:hAnsi="DM Sans" w:cs="DM Sans"/>
          <w:b/>
          <w:i w:val="0"/>
          <w:color w:val="0F2347"/>
          <w:sz w:val="22"/>
        </w:rPr>
        <w:t xml:space="preserve">Density. </w:t>
      </w:r>
      <w:r>
        <w:rPr>
          <w:rFonts w:ascii="Cormorant Garamond" w:hAnsi="Cormorant Garamond" w:cs="Cormorant Garamond"/>
          <w:b w:val="0"/>
          <w:i/>
          <w:color w:val="0F2347"/>
          <w:sz w:val="26"/>
        </w:rPr>
        <w:t>Is this environment still forming deeper capability in me?</w:t>
      </w:r>
    </w:p>
    <w:p>
      <w:pPr>
        <w:spacing w:after="120" w:before="0" w:line="288" w:lineRule="auto"/>
      </w:pPr>
      <w:r>
        <w:rPr>
          <w:rFonts w:ascii="DM Sans" w:hAnsi="DM Sans" w:cs="DM Sans"/>
          <w:b/>
          <w:i w:val="0"/>
          <w:color w:val="0F2347"/>
          <w:sz w:val="22"/>
        </w:rPr>
        <w:t xml:space="preserve">Optionality. </w:t>
      </w:r>
      <w:r>
        <w:rPr>
          <w:rFonts w:ascii="Cormorant Garamond" w:hAnsi="Cormorant Garamond" w:cs="Cormorant Garamond"/>
          <w:b w:val="0"/>
          <w:i/>
          <w:color w:val="0F2347"/>
          <w:sz w:val="26"/>
        </w:rPr>
        <w:t>Does what I am building travel beyond this context?</w:t>
      </w:r>
    </w:p>
    <w:p>
      <w:pPr>
        <w:pBdr>
          <w:bottom w:val="single" w:sz="6" w:space="1" w:color="C9A84C"/>
        </w:pBdr>
        <w:spacing w:after="120"/>
      </w:pPr>
    </w:p>
    <w:p>
      <w:pPr>
        <w:spacing w:after="80" w:before="40" w:line="312" w:lineRule="auto"/>
      </w:pPr>
      <w:r>
        <w:rPr>
          <w:rFonts w:ascii="DM Sans" w:hAnsi="DM Sans" w:cs="DM Sans"/>
          <w:b/>
          <w:i w:val="0"/>
          <w:color w:val="C9A84C"/>
          <w:sz w:val="18"/>
          <w:spacing w:val="40"/>
        </w:rPr>
        <w:t>THREE MISREADINGS</w:t>
      </w:r>
    </w:p>
    <w:p>
      <w:pPr>
        <w:spacing w:after="40" w:before="60" w:line="276" w:lineRule="auto"/>
      </w:pPr>
      <w:r>
        <w:rPr>
          <w:rFonts w:ascii="Cormorant Garamond" w:hAnsi="Cormorant Garamond" w:cs="Cormorant Garamond"/>
          <w:b w:val="0"/>
          <w:i/>
          <w:color w:val="0F2347"/>
          <w:sz w:val="28"/>
        </w:rPr>
        <w:t>One. Scoring the intended life.</w:t>
      </w:r>
    </w:p>
    <w:p>
      <w:pPr>
        <w:spacing w:after="60" w:before="0" w:line="300" w:lineRule="auto"/>
      </w:pPr>
      <w:r>
        <w:rPr>
          <w:rFonts w:ascii="DM Sans" w:hAnsi="DM Sans" w:cs="DM Sans"/>
          <w:b w:val="0"/>
          <w:i w:val="0"/>
          <w:color w:val="1A1A1A"/>
          <w:sz w:val="20"/>
        </w:rPr>
        <w:t>Reading a plan, a promise, or a future assignment as though it has already happened.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FFFFF"/>
          </w:tcPr>
          <w:p>
            <w:pPr>
              <w:spacing w:before="20" w:after="0" w:line="264" w:lineRule="auto"/>
            </w:pPr>
            <w:r/>
            <w:r>
              <w:rPr>
                <w:rFonts w:ascii="DM Sans" w:hAnsi="DM Sans" w:cs="DM Sans"/>
                <w:b/>
                <w:i w:val="0"/>
                <w:color w:val="C1440E"/>
                <w:sz w:val="16"/>
                <w:spacing w:val="40"/>
              </w:rPr>
              <w:t>REFLECTION PROMPT</w:t>
            </w:r>
          </w:p>
          <w:p>
            <w:pPr>
              <w:spacing w:after="20" w:line="288" w:lineRule="auto"/>
            </w:pPr>
            <w:r>
              <w:rPr>
                <w:rFonts w:ascii="Cormorant Garamond" w:hAnsi="Cormorant Garamond" w:cs="Cormorant Garamond"/>
                <w:b w:val="0"/>
                <w:i/>
                <w:color w:val="0F2347"/>
                <w:sz w:val="24"/>
              </w:rPr>
              <w:t>Where am I scoring a promise, plan, or future possibility as though it already happened?</w:t>
            </w:r>
          </w:p>
        </w:tc>
      </w:tr>
    </w:tbl>
    <w:p>
      <w:pPr>
        <w:spacing w:after="40" w:before="60" w:line="276" w:lineRule="auto"/>
      </w:pPr>
      <w:r>
        <w:rPr>
          <w:rFonts w:ascii="Cormorant Garamond" w:hAnsi="Cormorant Garamond" w:cs="Cormorant Garamond"/>
          <w:b w:val="0"/>
          <w:i/>
          <w:color w:val="0F2347"/>
          <w:sz w:val="28"/>
        </w:rPr>
        <w:t>Two. Confusing being valued with being formed.</w:t>
      </w:r>
    </w:p>
    <w:p>
      <w:pPr>
        <w:spacing w:after="60" w:before="0" w:line="300" w:lineRule="auto"/>
      </w:pPr>
      <w:r>
        <w:rPr>
          <w:rFonts w:ascii="DM Sans" w:hAnsi="DM Sans" w:cs="DM Sans"/>
          <w:b w:val="0"/>
          <w:i w:val="0"/>
          <w:color w:val="1A1A1A"/>
          <w:sz w:val="20"/>
        </w:rPr>
        <w:t>Reading dependence, visibility, or trust as evidence of ongoing formation.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FFFFF"/>
          </w:tcPr>
          <w:p>
            <w:pPr>
              <w:spacing w:before="20" w:after="0" w:line="264" w:lineRule="auto"/>
            </w:pPr>
            <w:r/>
            <w:r>
              <w:rPr>
                <w:rFonts w:ascii="DM Sans" w:hAnsi="DM Sans" w:cs="DM Sans"/>
                <w:b/>
                <w:i w:val="0"/>
                <w:color w:val="C1440E"/>
                <w:sz w:val="16"/>
                <w:spacing w:val="40"/>
              </w:rPr>
              <w:t>REFLECTION PROMPT</w:t>
            </w:r>
          </w:p>
          <w:p>
            <w:pPr>
              <w:spacing w:after="20" w:line="288" w:lineRule="auto"/>
            </w:pPr>
            <w:r>
              <w:rPr>
                <w:rFonts w:ascii="Cormorant Garamond" w:hAnsi="Cormorant Garamond" w:cs="Cormorant Garamond"/>
                <w:b w:val="0"/>
                <w:i/>
                <w:color w:val="0F2347"/>
                <w:sz w:val="24"/>
              </w:rPr>
              <w:t>Where am I being valued but not necessarily formed?</w:t>
            </w:r>
          </w:p>
        </w:tc>
      </w:tr>
    </w:tbl>
    <w:p>
      <w:pPr>
        <w:spacing w:after="40" w:before="60" w:line="276" w:lineRule="auto"/>
      </w:pPr>
      <w:r>
        <w:rPr>
          <w:rFonts w:ascii="Cormorant Garamond" w:hAnsi="Cormorant Garamond" w:cs="Cormorant Garamond"/>
          <w:b w:val="0"/>
          <w:i/>
          <w:color w:val="0F2347"/>
          <w:sz w:val="28"/>
        </w:rPr>
        <w:t>Three. Reading low Optionality as a verdict on ability.</w:t>
      </w:r>
    </w:p>
    <w:p>
      <w:pPr>
        <w:spacing w:after="60" w:before="0" w:line="300" w:lineRule="auto"/>
      </w:pPr>
      <w:r>
        <w:rPr>
          <w:rFonts w:ascii="DM Sans" w:hAnsi="DM Sans" w:cs="DM Sans"/>
          <w:b w:val="0"/>
          <w:i w:val="0"/>
          <w:color w:val="1A1A1A"/>
          <w:sz w:val="20"/>
        </w:rPr>
        <w:t>Low Optionality may reflect context-bound capability, weak translation, limited exposure, or a combination. It is not a verdict on ability or worth.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color="auto" w:fill="FFFFFF"/>
          </w:tcPr>
          <w:p>
            <w:pPr>
              <w:spacing w:before="20" w:after="0" w:line="264" w:lineRule="auto"/>
            </w:pPr>
            <w:r/>
            <w:r>
              <w:rPr>
                <w:rFonts w:ascii="DM Sans" w:hAnsi="DM Sans" w:cs="DM Sans"/>
                <w:b/>
                <w:i w:val="0"/>
                <w:color w:val="C1440E"/>
                <w:sz w:val="16"/>
                <w:spacing w:val="40"/>
              </w:rPr>
              <w:t>REFLECTION PROMPT</w:t>
            </w:r>
          </w:p>
          <w:p>
            <w:pPr>
              <w:spacing w:after="20" w:line="288" w:lineRule="auto"/>
            </w:pPr>
            <w:r>
              <w:rPr>
                <w:rFonts w:ascii="Cormorant Garamond" w:hAnsi="Cormorant Garamond" w:cs="Cormorant Garamond"/>
                <w:b w:val="0"/>
                <w:i/>
                <w:color w:val="0F2347"/>
                <w:sz w:val="24"/>
              </w:rPr>
              <w:t>What have I built that someone outside this context could actually understand?</w:t>
            </w:r>
          </w:p>
        </w:tc>
      </w:tr>
    </w:tbl>
    <w:p>
      <w:pPr>
        <w:pBdr>
          <w:bottom w:val="single" w:sz="6" w:space="1" w:color="C9A84C"/>
        </w:pBdr>
        <w:spacing w:after="120"/>
      </w:pPr>
    </w:p>
    <w:p>
      <w:pPr>
        <w:spacing w:after="40" w:before="40" w:line="312" w:lineRule="auto"/>
      </w:pPr>
      <w:r>
        <w:rPr>
          <w:rFonts w:ascii="DM Sans" w:hAnsi="DM Sans" w:cs="DM Sans"/>
          <w:b/>
          <w:i w:val="0"/>
          <w:color w:val="C9A84C"/>
          <w:sz w:val="18"/>
          <w:spacing w:val="40"/>
        </w:rPr>
        <w:t>BOUNDARY</w:t>
      </w:r>
    </w:p>
    <w:p>
      <w:pPr>
        <w:spacing w:after="80" w:before="0" w:line="300" w:lineRule="auto"/>
      </w:pPr>
      <w:r>
        <w:rPr>
          <w:rFonts w:ascii="DM Sans" w:hAnsi="DM Sans" w:cs="DM Sans"/>
          <w:b w:val="0"/>
          <w:i w:val="0"/>
          <w:color w:val="1A1A1A"/>
          <w:sz w:val="20"/>
        </w:rPr>
        <w:t>This free lesson is not a diagnostic result, a Career State placement, or a stay-or-leave recommendation.</w:t>
      </w:r>
    </w:p>
    <w:p>
      <w:pPr>
        <w:pBdr>
          <w:bottom w:val="single" w:sz="6" w:space="1" w:color="C9A84C"/>
        </w:pBdr>
        <w:spacing w:after="120"/>
      </w:pPr>
    </w:p>
    <w:p>
      <w:pPr>
        <w:spacing w:after="40" w:before="40" w:line="288" w:lineRule="auto"/>
      </w:pPr>
      <w:r>
        <w:rPr>
          <w:rFonts w:ascii="Cormorant Garamond" w:hAnsi="Cormorant Garamond" w:cs="Cormorant Garamond"/>
          <w:b w:val="0"/>
          <w:i/>
          <w:color w:val="0F2347"/>
          <w:sz w:val="26"/>
        </w:rPr>
        <w:t>For a full evidence-backed read, attend the Live Capability Position Read.</w:t>
      </w:r>
    </w:p>
    <w:p>
      <w:pPr>
        <w:spacing w:after="40" w:before="0" w:line="312" w:lineRule="auto"/>
      </w:pPr>
      <w:r>
        <w:rPr>
          <w:rFonts w:ascii="Cormorant Garamond" w:hAnsi="Cormorant Garamond" w:cs="Cormorant Garamond"/>
          <w:b w:val="0"/>
          <w:i w:val="0"/>
          <w:color w:val="0F2347"/>
          <w:sz w:val="30"/>
        </w:rPr>
        <w:t>Should I Stay or Should I Move?</w:t>
      </w:r>
    </w:p>
    <w:p>
      <w:pPr>
        <w:spacing w:after="120" w:before="80" w:line="312" w:lineRule="auto"/>
      </w:pPr>
      <w:r>
        <w:rPr>
          <w:rFonts w:ascii="DM Sans" w:hAnsi="DM Sans" w:cs="DM Sans"/>
          <w:b w:val="0"/>
          <w:i w:val="0"/>
          <w:color w:val="4A4A4A"/>
          <w:sz w:val="16"/>
          <w:spacing w:val="30"/>
        </w:rPr>
        <w:t>TEMIDAYO AFONJA   |   TEMIDAYOAFONJA.COM   |   v1.0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