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Phase 2C — QA Report</w:t>
            </w:r>
          </w:p>
          <w:p>
            <w:pPr>
              <w:spacing w:after="120"/>
            </w:pPr>
            <w:r>
              <w:rPr>
                <w:i/>
                <w:color w:val="E3D9C4"/>
                <w:sz w:val="22"/>
              </w:rPr>
              <w:t>Decide Whether to Stay or Leave Your Job</w:t>
            </w:r>
          </w:p>
        </w:tc>
      </w:tr>
    </w:tbl>
    <w:p>
      <w:pPr>
        <w:spacing w:after="80"/>
      </w:pPr>
    </w:p>
    <w:p>
      <w:pPr>
        <w:spacing w:after="200"/>
      </w:pPr>
      <w:r>
        <w:rPr>
          <w:b/>
          <w:i w:val="0"/>
          <w:color w:val="B00000"/>
          <w:sz w:val="20"/>
        </w:rPr>
        <w:t>Verifies the Phase 2C Participant Communications, FAQ, 30-Day Evidence Review, and Field Kit Fulfillment package against the definitive offer and the protected participant experience rules. No Phase 2A file, Phase 2B file, frozen deck, or published Field Kit was edited in this pass.</w:t>
      </w:r>
    </w:p>
    <w:p>
      <w:pPr>
        <w:spacing w:before="120" w:after="12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264"/>
            <w:shd w:val="clear" w:fill="0F2347"/>
          </w:tcPr>
          <w:p>
            <w:r/>
            <w:r>
              <w:rPr>
                <w:b/>
                <w:color w:val="FFFFFF"/>
                <w:sz w:val="19"/>
              </w:rPr>
              <w:t>Check</w:t>
            </w:r>
          </w:p>
        </w:tc>
        <w:tc>
          <w:tcPr>
            <w:tcW w:type="dxa" w:w="2952"/>
            <w:shd w:val="clear" w:fill="0F2347"/>
          </w:tcPr>
          <w:p>
            <w:r/>
            <w:r>
              <w:rPr>
                <w:b/>
                <w:color w:val="FFFFFF"/>
                <w:sz w:val="19"/>
              </w:rPr>
              <w:t>Result</w:t>
            </w:r>
          </w:p>
        </w:tc>
      </w:tr>
      <w:tr>
        <w:tc>
          <w:tcPr>
            <w:tcW w:type="dxa" w:w="504"/>
          </w:tcPr>
          <w:p>
            <w:r/>
            <w:r>
              <w:rPr>
                <w:sz w:val="18"/>
              </w:rPr>
              <w:t>1</w:t>
            </w:r>
          </w:p>
        </w:tc>
        <w:tc>
          <w:tcPr>
            <w:tcW w:type="dxa" w:w="6264"/>
          </w:tcPr>
          <w:p>
            <w:r/>
            <w:r>
              <w:rPr>
                <w:sz w:val="18"/>
              </w:rPr>
              <w:t>Title correct everywhere</w:t>
            </w:r>
          </w:p>
        </w:tc>
        <w:tc>
          <w:tcPr>
            <w:tcW w:type="dxa" w:w="2952"/>
          </w:tcPr>
          <w:p>
            <w:r>
              <w:rPr>
                <w:b/>
                <w:color w:val="1A7A1A"/>
                <w:sz w:val="18"/>
              </w:rPr>
              <w:t>PASS — "Decide Whether to Stay or Leave Your Job" confirmed as the title in all 12 outputs via header bands and body text; grepped for legacy titles ("Should I Stay or Should I Move?"): zero hits.</w:t>
            </w:r>
          </w:p>
        </w:tc>
      </w:tr>
      <w:tr>
        <w:tc>
          <w:tcPr>
            <w:tcW w:type="dxa" w:w="504"/>
          </w:tcPr>
          <w:p>
            <w:r/>
            <w:r>
              <w:rPr>
                <w:sz w:val="18"/>
              </w:rPr>
              <w:t>2</w:t>
            </w:r>
          </w:p>
        </w:tc>
        <w:tc>
          <w:tcPr>
            <w:tcW w:type="dxa" w:w="6264"/>
          </w:tcPr>
          <w:p>
            <w:r/>
            <w:r>
              <w:rPr>
                <w:sz w:val="18"/>
              </w:rPr>
              <w:t>$500 correct everywhere</w:t>
            </w:r>
          </w:p>
        </w:tc>
        <w:tc>
          <w:tcPr>
            <w:tcW w:type="dxa" w:w="2952"/>
          </w:tcPr>
          <w:p>
            <w:r>
              <w:rPr>
                <w:b/>
                <w:color w:val="1A7A1A"/>
                <w:sz w:val="18"/>
              </w:rPr>
              <w:t>PASS — grepped all 10 participant/internal docx files for stale price points ($249, $349, $499): zero hits. Price is not restated inside individual participant emails (all addressed to already-enrolled participants), consistent with the definitive offer; no incorrect price appears anywhere.</w:t>
            </w:r>
          </w:p>
        </w:tc>
      </w:tr>
      <w:tr>
        <w:tc>
          <w:tcPr>
            <w:tcW w:type="dxa" w:w="504"/>
          </w:tcPr>
          <w:p>
            <w:r/>
            <w:r>
              <w:rPr>
                <w:sz w:val="18"/>
              </w:rPr>
              <w:t>3</w:t>
            </w:r>
          </w:p>
        </w:tc>
        <w:tc>
          <w:tcPr>
            <w:tcW w:type="dxa" w:w="6264"/>
          </w:tcPr>
          <w:p>
            <w:r/>
            <w:r>
              <w:rPr>
                <w:sz w:val="18"/>
              </w:rPr>
              <w:t>12-person cap correct everywhere</w:t>
            </w:r>
          </w:p>
        </w:tc>
        <w:tc>
          <w:tcPr>
            <w:tcW w:type="dxa" w:w="2952"/>
          </w:tcPr>
          <w:p>
            <w:r>
              <w:rPr>
                <w:b/>
                <w:color w:val="1A7A1A"/>
                <w:sz w:val="18"/>
              </w:rPr>
              <w:t>PASS — "12 participants" / "12-person cohort" confirmed in the Welcome Email, Participant FAQ (Q1, Q8 context), and the Field Kit Fulfillment SOP's use-limit section. Grepped for "15 participants" / "15 seats": zero hits.</w:t>
            </w:r>
          </w:p>
        </w:tc>
      </w:tr>
      <w:tr>
        <w:tc>
          <w:tcPr>
            <w:tcW w:type="dxa" w:w="504"/>
          </w:tcPr>
          <w:p>
            <w:r/>
            <w:r>
              <w:rPr>
                <w:sz w:val="18"/>
              </w:rPr>
              <w:t>4</w:t>
            </w:r>
          </w:p>
        </w:tc>
        <w:tc>
          <w:tcPr>
            <w:tcW w:type="dxa" w:w="6264"/>
          </w:tcPr>
          <w:p>
            <w:r/>
            <w:r>
              <w:rPr>
                <w:sz w:val="18"/>
              </w:rPr>
              <w:t>September 10 date correct</w:t>
            </w:r>
          </w:p>
        </w:tc>
        <w:tc>
          <w:tcPr>
            <w:tcW w:type="dxa" w:w="2952"/>
          </w:tcPr>
          <w:p>
            <w:r>
              <w:rPr>
                <w:b/>
                <w:color w:val="1A7A1A"/>
                <w:sz w:val="18"/>
              </w:rPr>
              <w:t>PASS — "Thursday, September 10, 2026" confirmed present verbatim in the Welcome Email, 24-Hour Reminder, Participant FAQ (Q6, Q12), and the Asset Manifest. No abbreviated or partial-date variant (e.g. "Sept 10" without the year) found by regex sweep.</w:t>
            </w:r>
          </w:p>
        </w:tc>
      </w:tr>
      <w:tr>
        <w:tc>
          <w:tcPr>
            <w:tcW w:type="dxa" w:w="504"/>
          </w:tcPr>
          <w:p>
            <w:r/>
            <w:r>
              <w:rPr>
                <w:sz w:val="18"/>
              </w:rPr>
              <w:t>5</w:t>
            </w:r>
          </w:p>
        </w:tc>
        <w:tc>
          <w:tcPr>
            <w:tcW w:type="dxa" w:w="6264"/>
          </w:tcPr>
          <w:p>
            <w:r/>
            <w:r>
              <w:rPr>
                <w:sz w:val="18"/>
              </w:rPr>
              <w:t>October 8 date correct</w:t>
            </w:r>
          </w:p>
        </w:tc>
        <w:tc>
          <w:tcPr>
            <w:tcW w:type="dxa" w:w="2952"/>
          </w:tcPr>
          <w:p>
            <w:r>
              <w:rPr>
                <w:b/>
                <w:color w:val="1A7A1A"/>
                <w:sz w:val="18"/>
              </w:rPr>
              <w:t>PASS — "Thursday, October 8, 2026" confirmed present verbatim in the Welcome Email, Post-Session Email, 30-Day Evidence Review Facilitator Guide, 24-Hour Reminder, and Asset Manifest.</w:t>
            </w:r>
          </w:p>
        </w:tc>
      </w:tr>
      <w:tr>
        <w:tc>
          <w:tcPr>
            <w:tcW w:type="dxa" w:w="504"/>
          </w:tcPr>
          <w:p>
            <w:r/>
            <w:r>
              <w:rPr>
                <w:sz w:val="18"/>
              </w:rPr>
              <w:t>6</w:t>
            </w:r>
          </w:p>
        </w:tc>
        <w:tc>
          <w:tcPr>
            <w:tcW w:type="dxa" w:w="6264"/>
          </w:tcPr>
          <w:p>
            <w:r/>
            <w:r>
              <w:rPr>
                <w:sz w:val="18"/>
              </w:rPr>
              <w:t>December 9 date correct</w:t>
            </w:r>
          </w:p>
        </w:tc>
        <w:tc>
          <w:tcPr>
            <w:tcW w:type="dxa" w:w="2952"/>
          </w:tcPr>
          <w:p>
            <w:r>
              <w:rPr>
                <w:b/>
                <w:color w:val="1A7A1A"/>
                <w:sz w:val="18"/>
              </w:rPr>
              <w:t>PASS — "Wednesday, December 9, 2026" confirmed present verbatim in the Post-Session Email, 90-Day Rescore Reminder, and the Participant Sheet's field 12 (both docx and PDF).</w:t>
            </w:r>
          </w:p>
        </w:tc>
      </w:tr>
      <w:tr>
        <w:tc>
          <w:tcPr>
            <w:tcW w:type="dxa" w:w="504"/>
          </w:tcPr>
          <w:p>
            <w:r/>
            <w:r>
              <w:rPr>
                <w:sz w:val="18"/>
              </w:rPr>
              <w:t>7</w:t>
            </w:r>
          </w:p>
        </w:tc>
        <w:tc>
          <w:tcPr>
            <w:tcW w:type="dxa" w:w="6264"/>
          </w:tcPr>
          <w:p>
            <w:r/>
            <w:r>
              <w:rPr>
                <w:sz w:val="18"/>
              </w:rPr>
              <w:t>No recording promised</w:t>
            </w:r>
          </w:p>
        </w:tc>
        <w:tc>
          <w:tcPr>
            <w:tcW w:type="dxa" w:w="2952"/>
          </w:tcPr>
          <w:p>
            <w:r>
              <w:rPr>
                <w:b/>
                <w:color w:val="1A7A1A"/>
                <w:sz w:val="18"/>
              </w:rPr>
              <w:t>PASS — every participant-facing document states the September 10 session is not recorded. No instance of "recording will be available" or "watch later" found by sweep.</w:t>
            </w:r>
          </w:p>
        </w:tc>
      </w:tr>
      <w:tr>
        <w:tc>
          <w:tcPr>
            <w:tcW w:type="dxa" w:w="504"/>
          </w:tcPr>
          <w:p>
            <w:r/>
            <w:r>
              <w:rPr>
                <w:sz w:val="18"/>
              </w:rPr>
              <w:t>8</w:t>
            </w:r>
          </w:p>
        </w:tc>
        <w:tc>
          <w:tcPr>
            <w:tcW w:type="dxa" w:w="6264"/>
          </w:tcPr>
          <w:p>
            <w:r/>
            <w:r>
              <w:rPr>
                <w:sz w:val="18"/>
              </w:rPr>
              <w:t>No replay promised</w:t>
            </w:r>
          </w:p>
        </w:tc>
        <w:tc>
          <w:tcPr>
            <w:tcW w:type="dxa" w:w="2952"/>
          </w:tcPr>
          <w:p>
            <w:r>
              <w:rPr>
                <w:b/>
                <w:color w:val="1A7A1A"/>
                <w:sz w:val="18"/>
              </w:rPr>
              <w:t>PASS — grepped all 10 docx files for "replay": the only 2 hits (Evidence Review Facilitator Guide, Participant FAQ) are both explicit negations ("there is no replay to send").</w:t>
            </w:r>
          </w:p>
        </w:tc>
      </w:tr>
      <w:tr>
        <w:tc>
          <w:tcPr>
            <w:tcW w:type="dxa" w:w="504"/>
          </w:tcPr>
          <w:p>
            <w:r/>
            <w:r>
              <w:rPr>
                <w:sz w:val="18"/>
              </w:rPr>
              <w:t>9</w:t>
            </w:r>
          </w:p>
        </w:tc>
        <w:tc>
          <w:tcPr>
            <w:tcW w:type="dxa" w:w="6264"/>
          </w:tcPr>
          <w:p>
            <w:r/>
            <w:r>
              <w:rPr>
                <w:sz w:val="18"/>
              </w:rPr>
              <w:t>Part A instructed not to be completed in advance</w:t>
            </w:r>
          </w:p>
        </w:tc>
        <w:tc>
          <w:tcPr>
            <w:tcW w:type="dxa" w:w="2952"/>
          </w:tcPr>
          <w:p>
            <w:r>
              <w:rPr>
                <w:b/>
                <w:color w:val="1A7A1A"/>
                <w:sz w:val="18"/>
              </w:rPr>
              <w:t>PASS — Welcome Email, 24-Hour Reminder, One-Hour Reminder, and FAQ Q5 all instruct participants to open/confirm Part A but explicitly not to complete it, with the required reasoning line present in the Welcome Email and FAQ.</w:t>
            </w:r>
          </w:p>
        </w:tc>
      </w:tr>
      <w:tr>
        <w:tc>
          <w:tcPr>
            <w:tcW w:type="dxa" w:w="504"/>
          </w:tcPr>
          <w:p>
            <w:r/>
            <w:r>
              <w:rPr>
                <w:sz w:val="18"/>
              </w:rPr>
              <w:t>10</w:t>
            </w:r>
          </w:p>
        </w:tc>
        <w:tc>
          <w:tcPr>
            <w:tcW w:type="dxa" w:w="6264"/>
          </w:tcPr>
          <w:p>
            <w:r/>
            <w:r>
              <w:rPr>
                <w:sz w:val="18"/>
              </w:rPr>
              <w:t>Part B never sent before live release</w:t>
            </w:r>
          </w:p>
        </w:tc>
        <w:tc>
          <w:tcPr>
            <w:tcW w:type="dxa" w:w="2952"/>
          </w:tcPr>
          <w:p>
            <w:r>
              <w:rPr>
                <w:b/>
                <w:color w:val="1A7A1A"/>
                <w:sz w:val="18"/>
              </w:rPr>
              <w:t>PASS — the only "Part B" mention across all 10 files is in the Welcome Email, stating it "will be released live during the session" with "nothing to download for it in advance." No Part B link or reference appears in the 24-Hour Reminder, One-Hour Reminder, or any Maven-facing text.</w:t>
            </w:r>
          </w:p>
        </w:tc>
      </w:tr>
      <w:tr>
        <w:tc>
          <w:tcPr>
            <w:tcW w:type="dxa" w:w="504"/>
          </w:tcPr>
          <w:p>
            <w:r/>
            <w:r>
              <w:rPr>
                <w:sz w:val="18"/>
              </w:rPr>
              <w:t>11</w:t>
            </w:r>
          </w:p>
        </w:tc>
        <w:tc>
          <w:tcPr>
            <w:tcW w:type="dxa" w:w="6264"/>
          </w:tcPr>
          <w:p>
            <w:r/>
            <w:r>
              <w:rPr>
                <w:sz w:val="18"/>
              </w:rPr>
              <w:t>Late-entry cutoff included</w:t>
            </w:r>
          </w:p>
        </w:tc>
        <w:tc>
          <w:tcPr>
            <w:tcW w:type="dxa" w:w="2952"/>
          </w:tcPr>
          <w:p>
            <w:r>
              <w:rPr>
                <w:b/>
                <w:color w:val="1A7A1A"/>
                <w:sz w:val="18"/>
              </w:rPr>
              <w:t>PASS — the exact spec cutoff language is present in the Welcome Email, 24-Hour Reminder (full form), the One-Hour Reminder (short form, as specified), and FAQ Q10.</w:t>
            </w:r>
          </w:p>
        </w:tc>
      </w:tr>
      <w:tr>
        <w:tc>
          <w:tcPr>
            <w:tcW w:type="dxa" w:w="504"/>
          </w:tcPr>
          <w:p>
            <w:r/>
            <w:r>
              <w:rPr>
                <w:sz w:val="18"/>
              </w:rPr>
              <w:t>12</w:t>
            </w:r>
          </w:p>
        </w:tc>
        <w:tc>
          <w:tcPr>
            <w:tcW w:type="dxa" w:w="6264"/>
          </w:tcPr>
          <w:p>
            <w:r/>
            <w:r>
              <w:rPr>
                <w:sz w:val="18"/>
              </w:rPr>
              <w:t>Reconnection exception not misrepresented</w:t>
            </w:r>
          </w:p>
        </w:tc>
        <w:tc>
          <w:tcPr>
            <w:tcW w:type="dxa" w:w="2952"/>
          </w:tcPr>
          <w:p>
            <w:r>
              <w:rPr>
                <w:b/>
                <w:color w:val="1A7A1A"/>
                <w:sz w:val="18"/>
              </w:rPr>
              <w:t>PASS — everywhere the cutoff is explained in full (Welcome Email, 24-Hour Reminder, FAQ Q10), the reconnection exception ("if you are already in the session and briefly lose connection, you may rejoin at the next natural pause") is included in the same breath. The intentionally short One-Hour Reminder omits it per the spec's own instruction not to overload that email, and does not state or imply reconnection is blocked.</w:t>
            </w:r>
          </w:p>
        </w:tc>
      </w:tr>
      <w:tr>
        <w:tc>
          <w:tcPr>
            <w:tcW w:type="dxa" w:w="504"/>
          </w:tcPr>
          <w:p>
            <w:r/>
            <w:r>
              <w:rPr>
                <w:sz w:val="18"/>
              </w:rPr>
              <w:t>13</w:t>
            </w:r>
          </w:p>
        </w:tc>
        <w:tc>
          <w:tcPr>
            <w:tcW w:type="dxa" w:w="6264"/>
          </w:tcPr>
          <w:p>
            <w:r/>
            <w:r>
              <w:rPr>
                <w:sz w:val="18"/>
              </w:rPr>
              <w:t>No score/state disclosure requested</w:t>
            </w:r>
          </w:p>
        </w:tc>
        <w:tc>
          <w:tcPr>
            <w:tcW w:type="dxa" w:w="2952"/>
          </w:tcPr>
          <w:p>
            <w:r>
              <w:rPr>
                <w:b/>
                <w:color w:val="1A7A1A"/>
                <w:sz w:val="18"/>
              </w:rPr>
              <w:t>PASS — grepped for disclosure-request patterns ("share/disclose/provide/submit" + "score/state"): every hit is a negation ("not required to share," "do I need to share... No"). No document asks a participant to report a score or Career State.</w:t>
            </w:r>
          </w:p>
        </w:tc>
      </w:tr>
      <w:tr>
        <w:tc>
          <w:tcPr>
            <w:tcW w:type="dxa" w:w="504"/>
          </w:tcPr>
          <w:p>
            <w:r/>
            <w:r>
              <w:rPr>
                <w:sz w:val="18"/>
              </w:rPr>
              <w:t>14</w:t>
            </w:r>
          </w:p>
        </w:tc>
        <w:tc>
          <w:tcPr>
            <w:tcW w:type="dxa" w:w="6264"/>
          </w:tcPr>
          <w:p>
            <w:r/>
            <w:r>
              <w:rPr>
                <w:sz w:val="18"/>
              </w:rPr>
              <w:t>No employer disclosure required</w:t>
            </w:r>
          </w:p>
        </w:tc>
        <w:tc>
          <w:tcPr>
            <w:tcW w:type="dxa" w:w="2952"/>
          </w:tcPr>
          <w:p>
            <w:r>
              <w:rPr>
                <w:b/>
                <w:color w:val="1A7A1A"/>
                <w:sz w:val="18"/>
              </w:rPr>
              <w:t>PASS — every mention of "employer" across all files appears inside an explicit "not required" / "do not ask" statement (Welcome Email, FAQ Q7, Evidence Review Facilitator Guide's Do-Not list).</w:t>
            </w:r>
          </w:p>
        </w:tc>
      </w:tr>
      <w:tr>
        <w:tc>
          <w:tcPr>
            <w:tcW w:type="dxa" w:w="504"/>
          </w:tcPr>
          <w:p>
            <w:r/>
            <w:r>
              <w:rPr>
                <w:sz w:val="18"/>
              </w:rPr>
              <w:t>15</w:t>
            </w:r>
          </w:p>
        </w:tc>
        <w:tc>
          <w:tcPr>
            <w:tcW w:type="dxa" w:w="6264"/>
          </w:tcPr>
          <w:p>
            <w:r/>
            <w:r>
              <w:rPr>
                <w:sz w:val="18"/>
              </w:rPr>
              <w:t>Field Kit described as included</w:t>
            </w:r>
          </w:p>
        </w:tc>
        <w:tc>
          <w:tcPr>
            <w:tcW w:type="dxa" w:w="2952"/>
          </w:tcPr>
          <w:p>
            <w:r>
              <w:rPr>
                <w:b/>
                <w:color w:val="1A7A1A"/>
                <w:sz w:val="18"/>
              </w:rPr>
              <w:t>PASS — "included" (not sold separately, not an upsell) stated in the Welcome Email, Post-Session Email, FAQ Q11, and the Field Kit Fulfillment SOP.</w:t>
            </w:r>
          </w:p>
        </w:tc>
      </w:tr>
      <w:tr>
        <w:tc>
          <w:tcPr>
            <w:tcW w:type="dxa" w:w="504"/>
          </w:tcPr>
          <w:p>
            <w:r/>
            <w:r>
              <w:rPr>
                <w:sz w:val="18"/>
              </w:rPr>
              <w:t>16</w:t>
            </w:r>
          </w:p>
        </w:tc>
        <w:tc>
          <w:tcPr>
            <w:tcW w:type="dxa" w:w="6264"/>
          </w:tcPr>
          <w:p>
            <w:r/>
            <w:r>
              <w:rPr>
                <w:sz w:val="18"/>
              </w:rPr>
              <w:t>CF-READER-25 never used</w:t>
            </w:r>
          </w:p>
        </w:tc>
        <w:tc>
          <w:tcPr>
            <w:tcW w:type="dxa" w:w="2952"/>
          </w:tcPr>
          <w:p>
            <w:r>
              <w:rPr>
                <w:b/>
                <w:color w:val="1A7A1A"/>
                <w:sz w:val="18"/>
              </w:rPr>
              <w:t>PASS — the single occurrence of "CF-READER-25" across all 10 files is in the Fulfillment SOP's explicit prohibition ("Do NOT use CF-READER-25"). It is never used as an actual code anywhere.</w:t>
            </w:r>
          </w:p>
        </w:tc>
      </w:tr>
      <w:tr>
        <w:tc>
          <w:tcPr>
            <w:tcW w:type="dxa" w:w="504"/>
          </w:tcPr>
          <w:p>
            <w:r/>
            <w:r>
              <w:rPr>
                <w:sz w:val="18"/>
              </w:rPr>
              <w:t>17</w:t>
            </w:r>
          </w:p>
        </w:tc>
        <w:tc>
          <w:tcPr>
            <w:tcW w:type="dxa" w:w="6264"/>
          </w:tcPr>
          <w:p>
            <w:r/>
            <w:r>
              <w:rPr>
                <w:sz w:val="18"/>
              </w:rPr>
              <w:t>Existing Maven-specific Gumroad code placeholder used</w:t>
            </w:r>
          </w:p>
        </w:tc>
        <w:tc>
          <w:tcPr>
            <w:tcW w:type="dxa" w:w="2952"/>
          </w:tcPr>
          <w:p>
            <w:r>
              <w:rPr>
                <w:b/>
                <w:color w:val="1A7A1A"/>
                <w:sz w:val="18"/>
              </w:rPr>
              <w:t>PASS — [EXISTING MAVEN WORKSHOP FIELD KIT CODE] is the only code placeholder used, confirmed present in the Fulfillment SOP and the Asset Manifest's placeholder list. No new code was generated.</w:t>
            </w:r>
          </w:p>
        </w:tc>
      </w:tr>
      <w:tr>
        <w:tc>
          <w:tcPr>
            <w:tcW w:type="dxa" w:w="504"/>
          </w:tcPr>
          <w:p>
            <w:r/>
            <w:r>
              <w:rPr>
                <w:sz w:val="18"/>
              </w:rPr>
              <w:t>18</w:t>
            </w:r>
          </w:p>
        </w:tc>
        <w:tc>
          <w:tcPr>
            <w:tcW w:type="dxa" w:w="6264"/>
          </w:tcPr>
          <w:p>
            <w:r/>
            <w:r>
              <w:rPr>
                <w:sz w:val="18"/>
              </w:rPr>
              <w:t>No private Evidence Review make-up promised</w:t>
            </w:r>
          </w:p>
        </w:tc>
        <w:tc>
          <w:tcPr>
            <w:tcW w:type="dxa" w:w="2952"/>
          </w:tcPr>
          <w:p>
            <w:r>
              <w:rPr>
                <w:b/>
                <w:color w:val="1A7A1A"/>
                <w:sz w:val="18"/>
              </w:rPr>
              <w:t>PASS — FAQ Q4 uses the exact required policy sentence verbatim, including "A private make-up session is not included."</w:t>
            </w:r>
          </w:p>
        </w:tc>
      </w:tr>
      <w:tr>
        <w:tc>
          <w:tcPr>
            <w:tcW w:type="dxa" w:w="504"/>
          </w:tcPr>
          <w:p>
            <w:r/>
            <w:r>
              <w:rPr>
                <w:sz w:val="18"/>
              </w:rPr>
              <w:t>19</w:t>
            </w:r>
          </w:p>
        </w:tc>
        <w:tc>
          <w:tcPr>
            <w:tcW w:type="dxa" w:w="6264"/>
          </w:tcPr>
          <w:p>
            <w:r/>
            <w:r>
              <w:rPr>
                <w:sz w:val="18"/>
              </w:rPr>
              <w:t>Evidence Review not described as a full rescore</w:t>
            </w:r>
          </w:p>
        </w:tc>
        <w:tc>
          <w:tcPr>
            <w:tcW w:type="dxa" w:w="2952"/>
          </w:tcPr>
          <w:p>
            <w:r>
              <w:rPr>
                <w:b/>
                <w:color w:val="1A7A1A"/>
                <w:sz w:val="18"/>
              </w:rPr>
              <w:t>PASS — the Evidence Review Facilitator Guide states explicitly "The Evidence Review does NOT rerun the complete instrument" and its Do-Not list bars recalculating states or rerunning all 12 statements. The Participant Sheet repeats "This is not a new Career State assessment" on both pages of the PDF and both header/footer mentions of the docx.</w:t>
            </w:r>
          </w:p>
        </w:tc>
      </w:tr>
      <w:tr>
        <w:tc>
          <w:tcPr>
            <w:tcW w:type="dxa" w:w="504"/>
          </w:tcPr>
          <w:p>
            <w:r/>
            <w:r>
              <w:rPr>
                <w:sz w:val="18"/>
              </w:rPr>
              <w:t>20</w:t>
            </w:r>
          </w:p>
        </w:tc>
        <w:tc>
          <w:tcPr>
            <w:tcW w:type="dxa" w:w="6264"/>
          </w:tcPr>
          <w:p>
            <w:r/>
            <w:r>
              <w:rPr>
                <w:sz w:val="18"/>
              </w:rPr>
              <w:t>90-day rescore routes to Field Kit</w:t>
            </w:r>
          </w:p>
        </w:tc>
        <w:tc>
          <w:tcPr>
            <w:tcW w:type="dxa" w:w="2952"/>
          </w:tcPr>
          <w:p>
            <w:r>
              <w:rPr>
                <w:b/>
                <w:color w:val="1A7A1A"/>
                <w:sz w:val="18"/>
              </w:rPr>
              <w:t>PASS — the 90-Day Rescore Reminder instructs participants to "return to the Field Kit" and use "the current Field Kit's boundary and uncertainty rules"; the Participant Sheet's field 12 and closing note both point forward to the day-90 full read using the Field Kit.</w:t>
            </w:r>
          </w:p>
        </w:tc>
      </w:tr>
      <w:tr>
        <w:tc>
          <w:tcPr>
            <w:tcW w:type="dxa" w:w="504"/>
          </w:tcPr>
          <w:p>
            <w:r/>
            <w:r>
              <w:rPr>
                <w:sz w:val="18"/>
              </w:rPr>
              <w:t>21</w:t>
            </w:r>
          </w:p>
        </w:tc>
        <w:tc>
          <w:tcPr>
            <w:tcW w:type="dxa" w:w="6264"/>
          </w:tcPr>
          <w:p>
            <w:r/>
            <w:r>
              <w:rPr>
                <w:sz w:val="18"/>
              </w:rPr>
              <w:t>No testimonial request in immediate post-session email</w:t>
            </w:r>
          </w:p>
        </w:tc>
        <w:tc>
          <w:tcPr>
            <w:tcW w:type="dxa" w:w="2952"/>
          </w:tcPr>
          <w:p>
            <w:r>
              <w:rPr>
                <w:b/>
                <w:color w:val="1A7A1A"/>
                <w:sz w:val="18"/>
              </w:rPr>
              <w:t>PASS — grepped the Post-Session Email for "testimonial," "review us," "leave a review": zero hits.</w:t>
            </w:r>
          </w:p>
        </w:tc>
      </w:tr>
      <w:tr>
        <w:tc>
          <w:tcPr>
            <w:tcW w:type="dxa" w:w="504"/>
          </w:tcPr>
          <w:p>
            <w:r/>
            <w:r>
              <w:rPr>
                <w:sz w:val="18"/>
              </w:rPr>
              <w:t>22</w:t>
            </w:r>
          </w:p>
        </w:tc>
        <w:tc>
          <w:tcPr>
            <w:tcW w:type="dxa" w:w="6264"/>
          </w:tcPr>
          <w:p>
            <w:r/>
            <w:r>
              <w:rPr>
                <w:sz w:val="18"/>
              </w:rPr>
              <w:t>No upsell in post-session email</w:t>
            </w:r>
          </w:p>
        </w:tc>
        <w:tc>
          <w:tcPr>
            <w:tcW w:type="dxa" w:w="2952"/>
          </w:tcPr>
          <w:p>
            <w:r>
              <w:rPr>
                <w:b/>
                <w:color w:val="1A7A1A"/>
                <w:sz w:val="18"/>
              </w:rPr>
              <w:t>PASS — grepped the Post-Session Email for "upsell," "another product," "book": zero hits. Only the already-included Field Kit and Evidence Review are referenced.</w:t>
            </w:r>
          </w:p>
        </w:tc>
      </w:tr>
      <w:tr>
        <w:tc>
          <w:tcPr>
            <w:tcW w:type="dxa" w:w="504"/>
          </w:tcPr>
          <w:p>
            <w:r/>
            <w:r>
              <w:rPr>
                <w:sz w:val="18"/>
              </w:rPr>
              <w:t>23</w:t>
            </w:r>
          </w:p>
        </w:tc>
        <w:tc>
          <w:tcPr>
            <w:tcW w:type="dxa" w:w="6264"/>
          </w:tcPr>
          <w:p>
            <w:r/>
            <w:r>
              <w:rPr>
                <w:sz w:val="18"/>
              </w:rPr>
              <w:t>Educational boundary present</w:t>
            </w:r>
          </w:p>
        </w:tc>
        <w:tc>
          <w:tcPr>
            <w:tcW w:type="dxa" w:w="2952"/>
          </w:tcPr>
          <w:p>
            <w:r>
              <w:rPr>
                <w:b/>
                <w:color w:val="1A7A1A"/>
                <w:sz w:val="18"/>
              </w:rPr>
              <w:t>PASS — the Participant FAQ's dedicated "Educational boundary" section lists all eight excluded advice categories (legal, immigration, tax, financial, compensation, medical, mental-health, employment-law) verbatim from the spec.</w:t>
            </w:r>
          </w:p>
        </w:tc>
      </w:tr>
      <w:tr>
        <w:tc>
          <w:tcPr>
            <w:tcW w:type="dxa" w:w="504"/>
          </w:tcPr>
          <w:p>
            <w:r/>
            <w:r>
              <w:rPr>
                <w:sz w:val="18"/>
              </w:rPr>
              <w:t>24</w:t>
            </w:r>
          </w:p>
        </w:tc>
        <w:tc>
          <w:tcPr>
            <w:tcW w:type="dxa" w:w="6264"/>
          </w:tcPr>
          <w:p>
            <w:r/>
            <w:r>
              <w:rPr>
                <w:sz w:val="18"/>
              </w:rPr>
              <w:t>No outdated price/title/timing language</w:t>
            </w:r>
          </w:p>
        </w:tc>
        <w:tc>
          <w:tcPr>
            <w:tcW w:type="dxa" w:w="2952"/>
          </w:tcPr>
          <w:p>
            <w:r>
              <w:rPr>
                <w:b/>
                <w:color w:val="1A7A1A"/>
                <w:sz w:val="18"/>
              </w:rPr>
              <w:t>PASS — full Cross-Communication Language Lock sweep run against all 10 docx files for: $249, $349, $499, 15 participants, 15 seats, founding, early bird, recording available, 90-minute, 107-minute, 13-minute Q&amp;A, "Should I Stay or Should I Move?", one-day workshop. Zero hits outside this QA Report's own checklist language.</w:t>
            </w:r>
          </w:p>
        </w:tc>
      </w:tr>
      <w:tr>
        <w:tc>
          <w:tcPr>
            <w:tcW w:type="dxa" w:w="504"/>
          </w:tcPr>
          <w:p>
            <w:r/>
            <w:r>
              <w:rPr>
                <w:sz w:val="18"/>
              </w:rPr>
              <w:t>25</w:t>
            </w:r>
          </w:p>
        </w:tc>
        <w:tc>
          <w:tcPr>
            <w:tcW w:type="dxa" w:w="6264"/>
          </w:tcPr>
          <w:p>
            <w:r/>
            <w:r>
              <w:rPr>
                <w:sz w:val="18"/>
              </w:rPr>
              <w:t>No Phase 2A file changed</w:t>
            </w:r>
          </w:p>
        </w:tc>
        <w:tc>
          <w:tcPr>
            <w:tcW w:type="dxa" w:w="2952"/>
          </w:tcPr>
          <w:p>
            <w:r>
              <w:rPr>
                <w:b/>
                <w:color w:val="1A7A1A"/>
                <w:sz w:val="18"/>
              </w:rPr>
              <w:t>PASS — confirmed via git status: zero working-tree changes under paid-workshop-assets/phase2a/.</w:t>
            </w:r>
          </w:p>
        </w:tc>
      </w:tr>
      <w:tr>
        <w:tc>
          <w:tcPr>
            <w:tcW w:type="dxa" w:w="504"/>
          </w:tcPr>
          <w:p>
            <w:r/>
            <w:r>
              <w:rPr>
                <w:sz w:val="18"/>
              </w:rPr>
              <w:t>26</w:t>
            </w:r>
          </w:p>
        </w:tc>
        <w:tc>
          <w:tcPr>
            <w:tcW w:type="dxa" w:w="6264"/>
          </w:tcPr>
          <w:p>
            <w:r/>
            <w:r>
              <w:rPr>
                <w:sz w:val="18"/>
              </w:rPr>
              <w:t>No Phase 2B file changed</w:t>
            </w:r>
          </w:p>
        </w:tc>
        <w:tc>
          <w:tcPr>
            <w:tcW w:type="dxa" w:w="2952"/>
          </w:tcPr>
          <w:p>
            <w:r>
              <w:rPr>
                <w:b/>
                <w:color w:val="1A7A1A"/>
                <w:sz w:val="18"/>
              </w:rPr>
              <w:t>PASS — confirmed via git status: zero working-tree changes under paid-workshop-assets/phase2b/.</w:t>
            </w:r>
          </w:p>
        </w:tc>
      </w:tr>
      <w:tr>
        <w:tc>
          <w:tcPr>
            <w:tcW w:type="dxa" w:w="504"/>
          </w:tcPr>
          <w:p>
            <w:r/>
            <w:r>
              <w:rPr>
                <w:sz w:val="18"/>
              </w:rPr>
              <w:t>27</w:t>
            </w:r>
          </w:p>
        </w:tc>
        <w:tc>
          <w:tcPr>
            <w:tcW w:type="dxa" w:w="6264"/>
          </w:tcPr>
          <w:p>
            <w:r/>
            <w:r>
              <w:rPr>
                <w:sz w:val="18"/>
              </w:rPr>
              <w:t>Frozen deck unchanged</w:t>
            </w:r>
          </w:p>
        </w:tc>
        <w:tc>
          <w:tcPr>
            <w:tcW w:type="dxa" w:w="2952"/>
          </w:tcPr>
          <w:p>
            <w:r>
              <w:rPr>
                <w:b/>
                <w:color w:val="1A7A1A"/>
                <w:sz w:val="18"/>
              </w:rPr>
              <w:t>PASS — confirmed via git status and md5 checksum (0f667a1d8945faab94f59f29d487c50b), identical to every prior phase's verification. Not opened in this pass.</w:t>
            </w:r>
          </w:p>
        </w:tc>
      </w:tr>
      <w:tr>
        <w:tc>
          <w:tcPr>
            <w:tcW w:type="dxa" w:w="504"/>
          </w:tcPr>
          <w:p>
            <w:r/>
            <w:r>
              <w:rPr>
                <w:sz w:val="18"/>
              </w:rPr>
              <w:t>28</w:t>
            </w:r>
          </w:p>
        </w:tc>
        <w:tc>
          <w:tcPr>
            <w:tcW w:type="dxa" w:w="6264"/>
          </w:tcPr>
          <w:p>
            <w:r/>
            <w:r>
              <w:rPr>
                <w:sz w:val="18"/>
              </w:rPr>
              <w:t>Published Field Kit unchanged</w:t>
            </w:r>
          </w:p>
        </w:tc>
        <w:tc>
          <w:tcPr>
            <w:tcW w:type="dxa" w:w="2952"/>
          </w:tcPr>
          <w:p>
            <w:r>
              <w:rPr>
                <w:b/>
                <w:color w:val="1A7A1A"/>
                <w:sz w:val="18"/>
              </w:rPr>
              <w:t>PASS — md5 f231ad6e101e36ae821600adec3d1fd6, identical to every prior phase's verification. Not opened in this pass.</w:t>
            </w:r>
          </w:p>
        </w:tc>
      </w:tr>
    </w:tbl>
    <w:p>
      <w:pPr>
        <w:spacing w:after="120"/>
      </w:pPr>
    </w:p>
    <w:p>
      <w:pPr>
        <w:spacing w:before="120" w:after="120"/>
      </w:pPr>
      <w:r>
        <w:rPr>
          <w:color w:val="555555"/>
          <w:sz w:val="16"/>
        </w:rPr>
        <w:t>――――――――――――――――――――――――――――――――――――――――――――――――――――――――――――――――――――――――――――――</w:t>
      </w:r>
    </w:p>
    <w:p>
      <w:pPr>
        <w:keepNext/>
        <w:spacing w:before="280" w:after="80"/>
      </w:pPr>
      <w:r>
        <w:rPr>
          <w:b/>
          <w:color w:val="0F2347"/>
          <w:sz w:val="25"/>
        </w:rPr>
        <w:t>Scope note</w:t>
      </w:r>
    </w:p>
    <w:p>
      <w:pPr>
        <w:spacing w:after="160"/>
      </w:pPr>
      <w:r>
        <w:rPr>
          <w:b w:val="0"/>
          <w:i w:val="0"/>
          <w:color w:val="000000"/>
          <w:sz w:val="20"/>
        </w:rPr>
        <w:t>This QA Report verifies the 12 numbered Phase 2C outputs plus the Asset Manifest, checked against the Phase 2C spec's Definitive Offer, Protected Participant Experience, and Cross-Communication Language Lock sections. It does not re-verify Phase 2A or Phase 2B content — those packages are frozen and were confirmed unchanged, not re-audited.</w:t>
      </w:r>
    </w:p>
    <w:p>
      <w:pPr>
        <w:spacing w:before="120" w:after="120"/>
      </w:pPr>
      <w:r>
        <w:rPr>
          <w:color w:val="555555"/>
          <w:sz w:val="16"/>
        </w:rPr>
        <w:t>――――――――――――――――――――――――――――――――――――――――――――――――――――――――――――――――――――――――――――――</w:t>
      </w:r>
    </w:p>
    <w:p>
      <w:pPr>
        <w:keepNext/>
        <w:spacing w:before="280" w:after="80"/>
      </w:pPr>
      <w:r>
        <w:rPr>
          <w:b/>
          <w:color w:val="0F2347"/>
          <w:sz w:val="25"/>
        </w:rPr>
        <w:t>Overall result</w:t>
      </w:r>
    </w:p>
    <w:p>
      <w:pPr>
        <w:spacing w:after="160"/>
      </w:pPr>
      <w:r>
        <w:rPr>
          <w:b/>
          <w:i w:val="0"/>
          <w:color w:val="1A7A1A"/>
          <w:sz w:val="26"/>
        </w:rPr>
        <w:t>PASS — all 28 checklist items verified.</w:t>
      </w:r>
    </w:p>
    <w:p>
      <w:pPr>
        <w:spacing w:after="160"/>
      </w:pPr>
      <w:r>
        <w:rPr>
          <w:b w:val="0"/>
          <w:i w:val="0"/>
          <w:color w:val="000000"/>
          <w:sz w:val="21"/>
        </w:rPr>
        <w:t>This is the Phase 2C package (v1.0), returned for review. Phase 2D has not been started.</w:t>
      </w:r>
    </w:p>
    <w:p>
      <w:pPr>
        <w:spacing w:before="120" w:after="120"/>
      </w:pPr>
      <w:r>
        <w:rPr>
          <w:color w:val="555555"/>
          <w:sz w:val="16"/>
        </w:rPr>
        <w:t>――――――――――――――――――――――――――――――――――――――――――――――――――――――――――――――――――――――――――――――</w:t>
      </w:r>
    </w:p>
    <w:p>
      <w:pPr>
        <w:spacing w:after="0"/>
      </w:pPr>
      <w:r>
        <w:rPr>
          <w:b w:val="0"/>
          <w:i/>
          <w:color w:val="555555"/>
          <w:sz w:val="16"/>
        </w:rPr>
        <w:t>PAID WORKSHOP — PHASE 2C QA REPORT v1.0</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