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2347"/>
          <w:sz w:val="40"/>
          <w:szCs w:val="40"/>
        </w:rPr>
        <w:t xml:space="preserve">Link, Naming &amp; Version Audit</w:t>
      </w:r>
    </w:p>
    <w:p>
      <w:pPr>
        <w:spacing w:after="120"/>
      </w:pPr>
      <w:r>
        <w:rPr>
          <w:color w:val="7A5C12"/>
          <w:sz w:val="26"/>
          <w:szCs w:val="26"/>
        </w:rPr>
        <w:t xml:space="preserve">temidayoafonja.com</w:t>
      </w:r>
    </w:p>
    <w:p>
      <w:pPr>
        <w:pBdr>
          <w:bottom w:val="single" w:color="C9A84C" w:sz="8"/>
        </w:pBdr>
        <w:spacing w:after="160"/>
      </w:pPr>
      <w:r>
        <w:rPr>
          <w:i/>
          <w:iCs/>
          <w:sz w:val="18"/>
          <w:szCs w:val="18"/>
        </w:rPr>
        <w:t xml:space="preserve">Date: 2026-07-30  ·  Author: Claude Code  ·  Status: report only — no copy changed; fixes await approval.</w:t>
      </w:r>
    </w:p>
    <w:p>
      <w:pPr>
        <w:pStyle w:val="Heading1"/>
        <w:spacing w:after="120" w:before="240"/>
      </w:pPr>
      <w:r>
        <w:t xml:space="preserve">Method &amp; one limitation</w:t>
      </w:r>
    </w:p>
    <w:p>
      <w:pPr>
        <w:spacing w:after="120" w:line="276"/>
      </w:pPr>
      <w:r>
        <w:rPr>
          <w:sz w:val="20"/>
          <w:szCs w:val="20"/>
        </w:rPr>
        <w:t xml:space="preserve">This is a static site deployed on Netlify. Served status for every path is fully determined by </w:t>
      </w:r>
      <w:r>
        <w:rPr>
          <w:b/>
          <w:bCs/>
          <w:sz w:val="20"/>
          <w:szCs w:val="20"/>
        </w:rPr>
        <w:t xml:space="preserve">netlify.toml</w:t>
      </w:r>
      <w:r>
        <w:rPr>
          <w:sz w:val="20"/>
          <w:szCs w:val="20"/>
        </w:rPr>
        <w:t xml:space="preserve"> (redirects) plus which **\*.html** files exist (Netlify serves /foo from foo.html at 200 by default). I derived items 1–3 from those two authoritative sources.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Limitation:</w:t>
      </w:r>
      <w:r>
        <w:rPr>
          <w:sz w:val="20"/>
          <w:szCs w:val="20"/>
        </w:rPr>
        <w:t xml:space="preserve"> I could not hit the live origin over the network — the environment's egress policy returns </w:t>
      </w:r>
      <w:r>
        <w:rPr>
          <w:b/>
          <w:bCs/>
          <w:sz w:val="20"/>
          <w:szCs w:val="20"/>
        </w:rPr>
        <w:t xml:space="preserve">403</w:t>
      </w:r>
      <w:r>
        <w:rPr>
          <w:sz w:val="20"/>
          <w:szCs w:val="20"/>
        </w:rPr>
        <w:t xml:space="preserve"> at the proxy gateway for temidayoafonja.com:443 (both curl and WebFetch). So the HTTP statuses below are </w:t>
      </w:r>
      <w:r>
        <w:rPr>
          <w:b/>
          <w:bCs/>
          <w:sz w:val="20"/>
          <w:szCs w:val="20"/>
        </w:rPr>
        <w:t xml:space="preserve">predicted from config</w:t>
      </w:r>
      <w:r>
        <w:rPr>
          <w:sz w:val="20"/>
          <w:szCs w:val="20"/>
        </w:rPr>
        <w:t xml:space="preserve">, not observed live; spot-check them in a browser before relying on them. Everything else (grep, file/line, instrument logic, version inventory) is observed directly.</w:t>
      </w:r>
    </w:p>
    <w:p>
      <w:pPr>
        <w:pStyle w:val="Heading1"/>
        <w:spacing w:after="120" w:before="240"/>
      </w:pPr>
      <w:r>
        <w:t xml:space="preserve">Items 1–11</w:t>
      </w:r>
    </w:p>
    <w:tbl>
      <w:tblPr>
        <w:tblW w:type="dxa" w:w="9120"/>
        <w:tblBorders>
          <w:top w:val="single" w:color="C9B36B" w:sz="4"/>
          <w:left w:val="single" w:color="C9B36B" w:sz="4"/>
          <w:bottom w:val="single" w:color="C9B36B" w:sz="4"/>
          <w:right w:val="single" w:color="C9B36B" w:sz="4"/>
          <w:insideH w:val="single" w:color="D8CBA6" w:sz="2"/>
          <w:insideV w:val="single" w:color="D8CBA6" w:sz="2"/>
        </w:tblBorders>
      </w:tblPr>
      <w:tblGrid>
        <w:gridCol w:w="640"/>
        <w:gridCol w:w="1760"/>
        <w:gridCol w:w="3300"/>
        <w:gridCol w:w="2260"/>
        <w:gridCol w:w="1160"/>
      </w:tblGrid>
      <w:tr>
        <w:trPr>
          <w:tblHeader/>
        </w:trPr>
        <w:tc>
          <w:tcPr>
            <w:tcW w:type="dxa" w:w="64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6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 &amp; line</w:t>
            </w:r>
          </w:p>
        </w:tc>
        <w:tc>
          <w:tcPr>
            <w:tcW w:type="dxa" w:w="33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Current state</w:t>
            </w:r>
          </w:p>
        </w:tc>
        <w:tc>
          <w:tcPr>
            <w:tcW w:type="dxa" w:w="226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Proposed change</w:t>
            </w:r>
          </w:p>
        </w:tc>
        <w:tc>
          <w:tcPr>
            <w:tcW w:type="dxa" w:w="116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1. Every URL / status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netlify.toml; all *.html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200 (static):</w:t>
            </w:r>
            <w:r>
              <w:rPr>
                <w:sz w:val="16"/>
                <w:szCs w:val="16"/>
              </w:rPr>
              <w:t xml:space="preserve"> /, /framework, /about, /principles, /work, /speaking, /book, /case-studies, /ai-capability-readiness, /dashboard, /diagnostic (200 rewrite), /organizational-diagnostic (200 rewrite).</w:t>
            </w:r>
          </w:p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301:</w:t>
            </w:r>
            <w:r>
              <w:rPr>
                <w:sz w:val="16"/>
                <w:szCs w:val="16"/>
              </w:rPr>
              <w:t xml:space="preserve"> /audit→/diagnostic; /institutional-diagnostic(.html)→/organizational-diagnostic.html; /diagnostic?audience=org→org; /fieldkit→Gumroad.</w:t>
            </w:r>
          </w:p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No 404s</w:t>
            </w:r>
            <w:r>
              <w:rPr>
                <w:sz w:val="16"/>
                <w:szCs w:val="16"/>
              </w:rPr>
              <w:t xml:space="preserve"> among referenced paths.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None (inventory). Confirm live once egress allows.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2. Named paths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netlify.toml, files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/audit→</w:t>
            </w:r>
            <w:r>
              <w:rPr>
                <w:b/>
                <w:bCs/>
                <w:sz w:val="16"/>
                <w:szCs w:val="16"/>
              </w:rPr>
              <w:t xml:space="preserve">301</w:t>
            </w:r>
            <w:r>
              <w:rPr>
                <w:sz w:val="16"/>
                <w:szCs w:val="16"/>
              </w:rPr>
              <w:t xml:space="preserve">→/diagnostic→200 (resolves, not 404). /diagnostic→200. /organizational-diagnostic→200. /institutional-diagnostic→</w:t>
            </w:r>
            <w:r>
              <w:rPr>
                <w:b/>
                <w:bCs/>
                <w:sz w:val="16"/>
                <w:szCs w:val="16"/>
              </w:rPr>
              <w:t xml:space="preserve">301</w:t>
            </w:r>
            <w:r>
              <w:rPr>
                <w:sz w:val="16"/>
                <w:szCs w:val="16"/>
              </w:rPr>
              <w:t xml:space="preserve">→org (intentional). /fieldkit→</w:t>
            </w:r>
            <w:r>
              <w:rPr>
                <w:b/>
                <w:bCs/>
                <w:sz w:val="16"/>
                <w:szCs w:val="16"/>
              </w:rPr>
              <w:t xml:space="preserve">301</w:t>
            </w:r>
            <w:r>
              <w:rPr>
                <w:sz w:val="16"/>
                <w:szCs w:val="16"/>
              </w:rPr>
              <w:t xml:space="preserve">→Gumroad. /book, /case-studies, /work, /speaking, /principles→200.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None.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3. /audit resolves?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netlify.toml:40-46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Yes.</w:t>
            </w:r>
            <w:r>
              <w:rPr>
                <w:sz w:val="16"/>
                <w:szCs w:val="16"/>
              </w:rPr>
              <w:t xml:space="preserve"> Permanent 301→/diagnostic (force=true) </w:t>
            </w:r>
            <w:r>
              <w:rPr>
                <w:b/>
                <w:bCs/>
                <w:sz w:val="16"/>
                <w:szCs w:val="16"/>
              </w:rPr>
              <w:t xml:space="preserve">already exists</w:t>
            </w:r>
            <w:r>
              <w:rPr>
                <w:sz w:val="16"/>
                <w:szCs w:val="16"/>
              </w:rPr>
              <w:t xml:space="preserve">, commented "never remove." The book's four /audit references resolve to the diagnostic.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No change needed</w:t>
            </w:r>
            <w:r>
              <w:rPr>
                <w:sz w:val="16"/>
                <w:szCs w:val="16"/>
              </w:rPr>
              <w:t xml:space="preserve"> — smallest-possible fix already in netlify.toml. Do not remove it.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64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4. /case-studies exists / contents</w:t>
            </w:r>
          </w:p>
        </w:tc>
        <w:tc>
          <w:tcPr>
            <w:tcW w:type="dxa" w:w="17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case-studies.html:93-191</w:t>
            </w:r>
          </w:p>
        </w:tc>
        <w:tc>
          <w:tcPr>
            <w:tcW w:type="dxa" w:w="330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Exists (200). Six </w:t>
            </w:r>
            <w:r>
              <w:rPr>
                <w:b/>
                <w:bCs/>
                <w:sz w:val="16"/>
                <w:szCs w:val="16"/>
              </w:rPr>
              <w:t xml:space="preserve">qualitative</w:t>
            </w:r>
            <w:r>
              <w:rPr>
                <w:sz w:val="16"/>
                <w:szCs w:val="16"/>
              </w:rPr>
              <w:t xml:space="preserve"> cases (2 org, 4 individual). Outcomes soft ("14 senior positions," "90-day plan," "moved up a pay band"). Testimonial block :185-191 renders nothing. </w:t>
            </w:r>
            <w:r>
              <w:rPr>
                <w:b/>
                <w:bCs/>
                <w:sz w:val="16"/>
                <w:szCs w:val="16"/>
              </w:rPr>
              <w:t xml:space="preserve">Contains none of the retention/effectiveness numbers</w:t>
            </w:r>
            <w:r>
              <w:rPr>
                <w:sz w:val="16"/>
                <w:szCs w:val="16"/>
              </w:rPr>
              <w:t xml:space="preserve"> the paid Field Kit says live here — those are on /work.</w:t>
            </w:r>
          </w:p>
        </w:tc>
        <w:tc>
          <w:tcPr>
            <w:tcW w:type="dxa" w:w="22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Add numbered ledgers to /case-studies, or repoint the Field Kit.</w:t>
            </w:r>
          </w:p>
        </w:tc>
        <w:tc>
          <w:tcPr>
            <w:tcW w:type="dxa" w:w="11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Med</w:t>
            </w:r>
            <w:r>
              <w:rPr>
                <w:sz w:val="16"/>
                <w:szCs w:val="16"/>
              </w:rPr>
              <w:t xml:space="preserve"> — paid buyers promised numbers not on the page</w:t>
            </w:r>
          </w:p>
        </w:tc>
      </w:tr>
      <w:tr>
        <w:tc>
          <w:tcPr>
            <w:tcW w:type="dxa" w:w="9120"/>
            <w:gridSpan w:val="5"/>
            <w:shd w:fill="EDE6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5. Retired / unruled strings</w:t>
            </w:r>
          </w:p>
        </w:tc>
      </w:tr>
      <w:tr>
        <w:tc>
          <w:tcPr>
            <w:tcW w:type="dxa" w:w="64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"AI Capability Readiness Diagnostic"</w:t>
            </w:r>
          </w:p>
        </w:tc>
        <w:tc>
          <w:tcPr>
            <w:tcW w:type="dxa" w:w="17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ai-capability-readiness.html:7,15,19,306,914,938; diagnostic.html:647-648; work.html:133; ai-readiness-*.js</w:t>
            </w:r>
          </w:p>
        </w:tc>
        <w:tc>
          <w:tcPr>
            <w:tcW w:type="dxa" w:w="330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A whole unruled named instrument</w:t>
            </w:r>
            <w:r>
              <w:rPr>
                <w:sz w:val="16"/>
                <w:szCs w:val="16"/>
              </w:rPr>
              <w:t xml:space="preserve"> (27-item, "The Density Group" brand) — its own page, a "Your Next Step" CTA on /diagnostic, and a link on /work. Not in canon. Also introduces "Institutional Resilience" (diagnostic.html:648).</w:t>
            </w:r>
          </w:p>
        </w:tc>
        <w:tc>
          <w:tcPr>
            <w:tcW w:type="dxa" w:w="22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Rule: name / keep / retire, and whether /diagnostic should promote it.</w:t>
            </w:r>
          </w:p>
        </w:tc>
        <w:tc>
          <w:tcPr>
            <w:tcW w:type="dxa" w:w="11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High</w:t>
            </w:r>
            <w:r>
              <w:rPr>
                <w:sz w:val="16"/>
                <w:szCs w:val="16"/>
              </w:rPr>
              <w:t xml:space="preserve"> — largest naming exposure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"the audit" as instrument (rendered)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work.html:295 ("Capability audit inquiry"); work.html:267 ("Optionality audit")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Reader-facing uses of audit as a service/instrument.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Rename per NOUN rule.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"audit" internal (non-rendered)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diagnostic.html:1406,1597,1751,1545; #audit / .audit-*; audit-research fn; dashboard.html:218,222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Retired naming persists in Plausible event names, form source tags, CSS ids/classes, endpoint. Non-rendered but leaks into analytics/exports.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Optional cleanup; low urgency.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"the audit" as verb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diagnostic.html:955,1011,1095; book.html:184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Verb usage ("audit whether…"), not the instrument. Likely acceptable.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Judgment call; probably leave.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"Institutional Diagnostic" / "institutional-diagnostic"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netlify.toml:14,19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No reader-facing hits. Strings survive only as retirement redirects (intentional). Adjacent "Institutional Resilience" at diagnostic.html:648.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Keep redirects; rule on "Institutional Resilience."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"Individual Capability Coaching"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work.html:256; index.html:273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A service name not in the canon list.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Rule: keep / rename / retire.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"Capability Formation Audit"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audit-research.js:1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Code comment only (+ Drive short-form PDFs, item 12).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Retire on next touch.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"digital audit", "web audit", "Take the Audit"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No hits</w:t>
            </w:r>
            <w:r>
              <w:rPr>
                <w:sz w:val="16"/>
                <w:szCs w:val="16"/>
              </w:rPr>
              <w:t xml:space="preserve"> anywhere.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None.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120"/>
            <w:gridSpan w:val="5"/>
            <w:shd w:fill="EDE6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6. Forward-looking / priority-access language</w:t>
            </w:r>
          </w:p>
        </w:tc>
      </w:tr>
      <w:tr>
        <w:tc>
          <w:tcPr>
            <w:tcW w:type="dxa" w:w="64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Book "Density" waitlist</w:t>
            </w:r>
          </w:p>
        </w:tc>
        <w:tc>
          <w:tcPr>
            <w:tcW w:type="dxa" w:w="17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book.html:274-281,328,331; index.html:291</w:t>
            </w:r>
          </w:p>
        </w:tc>
        <w:tc>
          <w:tcPr>
            <w:tcW w:type="dxa" w:w="330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"When Density has a publication date, </w:t>
            </w:r>
            <w:r>
              <w:rPr>
                <w:b/>
                <w:bCs/>
                <w:sz w:val="16"/>
                <w:szCs w:val="16"/>
              </w:rPr>
              <w:t xml:space="preserve">the people on this list hear it first</w:t>
            </w:r>
            <w:r>
              <w:rPr>
                <w:sz w:val="16"/>
                <w:szCs w:val="16"/>
              </w:rPr>
              <w:t xml:space="preserve">…"; confirm note "</w:t>
            </w:r>
            <w:r>
              <w:rPr>
                <w:b/>
                <w:bCs/>
                <w:sz w:val="16"/>
                <w:szCs w:val="16"/>
              </w:rPr>
              <w:t xml:space="preserve">you will know before anyone</w:t>
            </w:r>
            <w:r>
              <w:rPr>
                <w:sz w:val="16"/>
                <w:szCs w:val="16"/>
              </w:rPr>
              <w:t xml:space="preserve">"; "Join the list." First-notice promise to a named list.</w:t>
            </w:r>
          </w:p>
        </w:tc>
        <w:tc>
          <w:tcPr>
            <w:tcW w:type="dxa" w:w="22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Decide if the priority promise stays.</w:t>
            </w:r>
          </w:p>
        </w:tc>
        <w:tc>
          <w:tcPr>
            <w:tcW w:type="dxa" w:w="11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64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Coaching waitlist + scarcity</w:t>
            </w:r>
          </w:p>
        </w:tc>
        <w:tc>
          <w:tcPr>
            <w:tcW w:type="dxa" w:w="17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work.html:257,260</w:t>
            </w:r>
          </w:p>
        </w:tc>
        <w:tc>
          <w:tcPr>
            <w:tcW w:type="dxa" w:w="330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"Individual Capability Coaching · 90-Day Engagement · </w:t>
            </w:r>
            <w:r>
              <w:rPr>
                <w:b/>
                <w:bCs/>
                <w:sz w:val="16"/>
                <w:szCs w:val="16"/>
              </w:rPr>
              <w:t xml:space="preserve">Limited Spots</w:t>
            </w:r>
            <w:r>
              <w:rPr>
                <w:sz w:val="16"/>
                <w:szCs w:val="16"/>
              </w:rPr>
              <w:t xml:space="preserve">" + "</w:t>
            </w:r>
            <w:r>
              <w:rPr>
                <w:b/>
                <w:bCs/>
                <w:sz w:val="16"/>
                <w:szCs w:val="16"/>
              </w:rPr>
              <w:t xml:space="preserve">Waitlist Open</w:t>
            </w:r>
            <w:r>
              <w:rPr>
                <w:sz w:val="16"/>
                <w:szCs w:val="16"/>
              </w:rPr>
              <w:t xml:space="preserve">" tag.</w:t>
            </w:r>
          </w:p>
        </w:tc>
        <w:tc>
          <w:tcPr>
            <w:tcW w:type="dxa" w:w="22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Decide; resolve contradiction below.</w:t>
            </w:r>
          </w:p>
        </w:tc>
        <w:tc>
          <w:tcPr>
            <w:tcW w:type="dxa" w:w="11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64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Contradiction</w:t>
            </w:r>
          </w:p>
        </w:tc>
        <w:tc>
          <w:tcPr>
            <w:tcW w:type="dxa" w:w="17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work.html:286</w:t>
            </w:r>
          </w:p>
        </w:tc>
        <w:tc>
          <w:tcPr>
            <w:tcW w:type="dxa" w:w="330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"</w:t>
            </w:r>
            <w:r>
              <w:rPr>
                <w:b/>
                <w:bCs/>
                <w:sz w:val="16"/>
                <w:szCs w:val="16"/>
              </w:rPr>
              <w:t xml:space="preserve">No intake process. No waiting list pitch.</w:t>
            </w:r>
            <w:r>
              <w:rPr>
                <w:sz w:val="16"/>
                <w:szCs w:val="16"/>
              </w:rPr>
              <w:t xml:space="preserve">" — directly contradicts the "Waitlist Open" tag 26 lines above.</w:t>
            </w:r>
          </w:p>
        </w:tc>
        <w:tc>
          <w:tcPr>
            <w:tcW w:type="dxa" w:w="22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Pick one.</w:t>
            </w:r>
          </w:p>
        </w:tc>
        <w:tc>
          <w:tcPr>
            <w:tcW w:type="dxa" w:w="11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— Non-promises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work.html:65-68,94; diagnostic.html:1078; ai-capability-readiness.html:307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Unused .cohort-strip CSS (no markup); "next cohort" (generic question); "a few pilots in flight" (generic). </w:t>
            </w:r>
            <w:r>
              <w:rPr>
                <w:b/>
                <w:bCs/>
                <w:sz w:val="16"/>
                <w:szCs w:val="16"/>
              </w:rPr>
              <w:t xml:space="preserve">"workshop"/"coming soon"/"early access"/"first notice"/"hear first" = no hits.</w:t>
            </w:r>
            <w:r>
              <w:rPr>
                <w:sz w:val="16"/>
                <w:szCs w:val="16"/>
              </w:rPr>
              <w:t xml:space="preserve"> In-build workshop has not leaked.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None needed.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7. What /diagnostic claims it measures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diagnostic.html:8/16/20, 334-344, 359, 852-854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Meta: "maps your capability across Density, Optionality, </w:t>
            </w:r>
            <w:r>
              <w:rPr>
                <w:b/>
                <w:bCs/>
                <w:sz w:val="16"/>
                <w:szCs w:val="16"/>
              </w:rPr>
              <w:t xml:space="preserve">and Alumni Capital</w:t>
            </w:r>
            <w:r>
              <w:rPr>
                <w:sz w:val="16"/>
                <w:szCs w:val="16"/>
              </w:rPr>
              <w:t xml:space="preserve">." Body corrects it — :344 "</w:t>
            </w:r>
            <w:r>
              <w:rPr>
                <w:b/>
                <w:bCs/>
                <w:sz w:val="16"/>
                <w:szCs w:val="16"/>
              </w:rPr>
              <w:t xml:space="preserve">Density and Optionality are the two axes you are scored on. Alumni Capital is measured separately and does not move your placement.</w:t>
            </w:r>
            <w:r>
              <w:rPr>
                <w:sz w:val="16"/>
                <w:szCs w:val="16"/>
              </w:rPr>
              <w:t xml:space="preserve">"; :359 repeats. Code: IND_HIGH=19, boundary 17-21, 12 statements (1-6 Density, 7-12 Optionality). </w:t>
            </w:r>
            <w:r>
              <w:rPr>
                <w:b/>
                <w:bCs/>
                <w:sz w:val="16"/>
                <w:szCs w:val="16"/>
              </w:rPr>
              <w:t xml:space="preserve">Instrument matches canon; only the meta description + pillar visual imply three.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Copy fix: align meta/visual to "two scored axes + Alumni Capital read separately," or build pillar three.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Low-Med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8. Four-states matrix orientation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diagnostic.html:462-472; organizational-diagnostic.html:320-326,421-427,438-443; index.html:213-217; framework.html:200-221; Drive Diagnostic PDF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All corners match canon everywhere:</w:t>
            </w:r>
            <w:r>
              <w:rPr>
                <w:sz w:val="16"/>
                <w:szCs w:val="16"/>
              </w:rPr>
              <w:t xml:space="preserve"> Depth Trap TL, Compounding TR, Stagnant BL, Fragile BR; Density low bottom, Optionality low left. Direction </w:t>
            </w:r>
            <w:r>
              <w:rPr>
                <w:b/>
                <w:bCs/>
                <w:sz w:val="16"/>
                <w:szCs w:val="16"/>
              </w:rPr>
              <w:t xml:space="preserve">stated</w:t>
            </w:r>
            <w:r>
              <w:rPr>
                <w:sz w:val="16"/>
                <w:szCs w:val="16"/>
              </w:rPr>
              <w:t xml:space="preserve"> on /diagnostic, /organizational-diagnostic (live + report), the PDF; framework states it per-card. </w:t>
            </w:r>
            <w:r>
              <w:rPr>
                <w:b/>
                <w:bCs/>
                <w:sz w:val="16"/>
                <w:szCs w:val="16"/>
              </w:rPr>
              <w:t xml:space="preserve">Weak spot: index.html:213-217 renders the four quadrants with no axis labels — direction only implied.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Add X/Y axis labels to the index.html matrix.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4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9. The five numbers + attribution</w:t>
            </w:r>
          </w:p>
        </w:tc>
        <w:tc>
          <w:tcPr>
            <w:tcW w:type="dxa" w:w="17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work.html:132,160; book.html:270</w:t>
            </w:r>
          </w:p>
        </w:tc>
        <w:tc>
          <w:tcPr>
            <w:tcW w:type="dxa" w:w="330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Specific numbers appear </w:t>
            </w:r>
            <w:r>
              <w:rPr>
                <w:b/>
                <w:bCs/>
                <w:sz w:val="16"/>
                <w:szCs w:val="16"/>
              </w:rPr>
              <w:t xml:space="preserve">only on /work</w:t>
            </w:r>
            <w:r>
              <w:rPr>
                <w:sz w:val="16"/>
                <w:szCs w:val="16"/>
              </w:rPr>
              <w:t xml:space="preserve">. :132 — "30% retention, $2M+ turnover, 46-point NPS" → "</w:t>
            </w:r>
            <w:r>
              <w:rPr>
                <w:b/>
                <w:bCs/>
                <w:sz w:val="16"/>
                <w:szCs w:val="16"/>
              </w:rPr>
              <w:t xml:space="preserve">Delivered as Senior Director, Employee Experience at a global B2B SaaS company</w:t>
            </w:r>
            <w:r>
              <w:rPr>
                <w:sz w:val="16"/>
                <w:szCs w:val="16"/>
              </w:rPr>
              <w:t xml:space="preserve">." :160 — "</w:t>
            </w:r>
            <w:r>
              <w:rPr>
                <w:b/>
                <w:bCs/>
                <w:sz w:val="16"/>
                <w:szCs w:val="16"/>
              </w:rPr>
              <w:t xml:space="preserve">450+ managers … 22% leadership effectiveness</w:t>
            </w:r>
            <w:r>
              <w:rPr>
                <w:sz w:val="16"/>
                <w:szCs w:val="16"/>
              </w:rPr>
              <w:t xml:space="preserve">" → "</w:t>
            </w:r>
            <w:r>
              <w:rPr>
                <w:b/>
                <w:bCs/>
                <w:sz w:val="16"/>
                <w:szCs w:val="16"/>
              </w:rPr>
              <w:t xml:space="preserve">AVP at a global life sciences organization</w:t>
            </w:r>
            <w:r>
              <w:rPr>
                <w:sz w:val="16"/>
                <w:szCs w:val="16"/>
              </w:rPr>
              <w:t xml:space="preserve">." book.html:270 gives qualitative versions credited collectively to Big 4 + life sciences + tech. </w:t>
            </w:r>
            <w:r>
              <w:rPr>
                <w:b/>
                <w:bCs/>
                <w:sz w:val="16"/>
                <w:szCs w:val="16"/>
              </w:rPr>
              <w:t xml:space="preserve">Attribution is explicit at every occurrence — but to SaaS / life-sciences roles, NOT Deloitte/EY/PwC</w:t>
            </w:r>
            <w:r>
              <w:rPr>
                <w:sz w:val="16"/>
                <w:szCs w:val="16"/>
              </w:rPr>
              <w:t xml:space="preserve"> (set by commit #46).</w:t>
            </w:r>
          </w:p>
        </w:tc>
        <w:tc>
          <w:tcPr>
            <w:tcW w:type="dxa" w:w="22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Reconcile the conflict:</w:t>
            </w:r>
            <w:r>
              <w:rPr>
                <w:sz w:val="16"/>
                <w:szCs w:val="16"/>
              </w:rPr>
              <w:t xml:space="preserve"> canon (Big 4) vs. live copy (SaaS/life-sciences roles). Not changed — you rule.</w:t>
            </w:r>
          </w:p>
        </w:tc>
        <w:tc>
          <w:tcPr>
            <w:tcW w:type="dxa" w:w="11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High</w:t>
            </w:r>
            <w:r>
              <w:rPr>
                <w:sz w:val="16"/>
                <w:szCs w:val="16"/>
              </w:rPr>
              <w:t xml:space="preserve"> — public claims about where numbers were earned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10. Org defaults unknown quadrant → Compounding?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organizational-diagnostic.html:315-327, 633-653, 713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No — already fixed (commit #40).</w:t>
            </w:r>
            <w:r>
              <w:rPr>
                <w:sz w:val="16"/>
                <w:szCs w:val="16"/>
              </w:rPr>
              <w:t xml:space="preserve"> Placement computed client-side by quadrantFor(dHigh,oHigh), a total function over the four canonical strings; model no longer emits a quadrant; FALLBACK keyed by that string, all four keys present. </w:t>
            </w:r>
            <w:r>
              <w:rPr>
                <w:b/>
                <w:bCs/>
                <w:sz w:val="16"/>
                <w:szCs w:val="16"/>
              </w:rPr>
              <w:t xml:space="preserve">No unrecognised-string path, so no default-to-Compounding.</w:t>
            </w:r>
            <w:r>
              <w:rPr>
                <w:sz w:val="16"/>
                <w:szCs w:val="16"/>
              </w:rPr>
              <w:t xml:space="preserve"> (A retry message already exists for live-read/API failure at :691 and rate-limit 429.)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None needed. Optional defence-in-depth guard, but the failure it targets can no longer occur.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64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11. Row-level completion capture (both, email-independent)</w:t>
            </w:r>
          </w:p>
        </w:tc>
        <w:tc>
          <w:tcPr>
            <w:tcW w:type="dxa" w:w="17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Indiv: diagnostic.html:1488-1536,1688,1693; audit-research.js. Org: organizational-diagnostic.html:534-544,678-718; diagnose.js</w:t>
            </w:r>
          </w:p>
        </w:tc>
        <w:tc>
          <w:tcPr>
            <w:tcW w:type="dxa" w:w="330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Individual = yes.</w:t>
            </w:r>
            <w:r>
              <w:rPr>
                <w:sz w:val="16"/>
                <w:szCs w:val="16"/>
              </w:rPr>
              <w:t xml:space="preserve"> captureResearch() POSTs durable per-question responses[] (all 12 + reflective) plus scores/quadrant/demographics/consent to the audit-research store, with retry + localStorage resend. Fires at </w:t>
            </w:r>
            <w:r>
              <w:rPr>
                <w:b/>
                <w:bCs/>
                <w:sz w:val="16"/>
                <w:szCs w:val="16"/>
              </w:rPr>
              <w:t xml:space="preserve">both</w:t>
            </w:r>
            <w:r>
              <w:rPr>
                <w:sz w:val="16"/>
                <w:szCs w:val="16"/>
              </w:rPr>
              <w:t xml:space="preserve"> email-gate submit (:1688) </w:t>
            </w:r>
            <w:r>
              <w:rPr>
                <w:b/>
                <w:bCs/>
                <w:sz w:val="16"/>
                <w:szCs w:val="16"/>
              </w:rPr>
              <w:t xml:space="preserve">and</w:t>
            </w:r>
            <w:r>
              <w:rPr>
                <w:sz w:val="16"/>
                <w:szCs w:val="16"/>
              </w:rPr>
              <w:t xml:space="preserve"> skip (:1693) → </w:t>
            </w:r>
            <w:r>
              <w:rPr>
                <w:b/>
                <w:bCs/>
                <w:sz w:val="16"/>
                <w:szCs w:val="16"/>
              </w:rPr>
              <w:t xml:space="preserve">independent of the email gate.</w:t>
            </w:r>
          </w:p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Org = no.</w:t>
            </w:r>
            <w:r>
              <w:rPr>
                <w:sz w:val="16"/>
                <w:szCs w:val="16"/>
              </w:rPr>
              <w:t xml:space="preserve"> /diagnose gets answers only to write the narrative — </w:t>
            </w:r>
            <w:r>
              <w:rPr>
                <w:b/>
                <w:bCs/>
                <w:sz w:val="16"/>
                <w:szCs w:val="16"/>
              </w:rPr>
              <w:t xml:space="preserve">never persists them.</w:t>
            </w:r>
            <w:r>
              <w:rPr>
                <w:sz w:val="16"/>
                <w:szCs w:val="16"/>
              </w:rPr>
              <w:t xml:space="preserve"> The only email-independent signal is the client Plausible "Diagnostic Completed" event (:717: quadrant/reflection/boundary/standard — no rows). Rows reach the server only via the </w:t>
            </w:r>
            <w:r>
              <w:rPr>
                <w:b/>
                <w:bCs/>
                <w:sz w:val="16"/>
                <w:szCs w:val="16"/>
              </w:rPr>
              <w:t xml:space="preserve">email-gated</w:t>
            </w:r>
            <w:r>
              <w:rPr>
                <w:sz w:val="16"/>
                <w:szCs w:val="16"/>
              </w:rPr>
              <w:t xml:space="preserve"> /subscribe (:537), and even then only quadrant+reflection+boundary+standard, not rows.</w:t>
            </w:r>
          </w:p>
        </w:tc>
        <w:tc>
          <w:tcPr>
            <w:tcW w:type="dxa" w:w="22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Add a durable, email-independent row capture to the org flow (POST answers to a store from run()).</w:t>
            </w:r>
          </w:p>
        </w:tc>
        <w:tc>
          <w:tcPr>
            <w:tcW w:type="dxa" w:w="1160"/>
            <w:shd w:fill="FBF7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Med</w:t>
            </w:r>
            <w:r>
              <w:rPr>
                <w:sz w:val="16"/>
                <w:szCs w:val="16"/>
              </w:rPr>
              <w:t xml:space="preserve"> — org research data is being lost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Item 12 — Version inventory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In this repo / git history:</w:t>
      </w:r>
      <w:r>
        <w:rPr>
          <w:sz w:val="20"/>
          <w:szCs w:val="20"/>
        </w:rPr>
        <w:t xml:space="preserve"> none of the requested source artifacts exist. </w:t>
      </w:r>
      <w:r>
        <w:rPr>
          <w:b/>
          <w:bCs/>
          <w:sz w:val="20"/>
          <w:szCs w:val="20"/>
        </w:rPr>
        <w:t xml:space="preserve">card.py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covers.py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 xml:space="preserve">CANON_editorial_constants.md</w:t>
      </w:r>
      <w:r>
        <w:rPr>
          <w:sz w:val="20"/>
          <w:szCs w:val="20"/>
        </w:rPr>
        <w:t xml:space="preserve"> are absent from the working tree, from all branches, and from the entire git history (searched every blob). The repo holds only PNG cover images (book-cover.png, capability-audit-cover.png, density-book-cover.png), never a covers.py. No PDFs are in the repo.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In my working directories (this container):</w:t>
      </w:r>
      <w:r>
        <w:rPr>
          <w:sz w:val="20"/>
          <w:szCs w:val="20"/>
        </w:rPr>
        <w:t xml:space="preserve"> none of them. So those three files exist nowhere I can reach — they must be local to your machine. If you drop them in the repo I'll diff them.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In your Google Drive (owner temidayoluwo@gmail.com):</w:t>
      </w:r>
      <w:r>
        <w:rPr>
          <w:sz w:val="20"/>
          <w:szCs w:val="20"/>
        </w:rPr>
        <w:t xml:space="preserve"> the PDFs and ruling docs are there, in multiple versions. Newest of each is bold. Times are modifiedTime (UTC).</w:t>
      </w:r>
    </w:p>
    <w:p>
      <w:pPr>
        <w:pStyle w:val="Heading2"/>
        <w:spacing w:after="120" w:before="240"/>
      </w:pPr>
      <w:r>
        <w:t xml:space="preserve">Book interior PDF</w:t>
      </w:r>
    </w:p>
    <w:tbl>
      <w:tblPr>
        <w:tblW w:type="dxa" w:w="9120"/>
        <w:tblBorders>
          <w:top w:val="single" w:color="C9B36B" w:sz="4"/>
          <w:left w:val="single" w:color="C9B36B" w:sz="4"/>
          <w:bottom w:val="single" w:color="C9B36B" w:sz="4"/>
          <w:right w:val="single" w:color="C9B36B" w:sz="4"/>
          <w:insideH w:val="single" w:color="D8CBA6" w:sz="2"/>
          <w:insideV w:val="single" w:color="D8CBA6" w:sz="2"/>
        </w:tblBorders>
      </w:tblPr>
      <w:tblGrid>
        <w:gridCol w:w="4200"/>
        <w:gridCol w:w="1600"/>
        <w:gridCol w:w="3320"/>
      </w:tblGrid>
      <w:tr>
        <w:trPr>
          <w:tblHeader/>
        </w:trPr>
        <w:tc>
          <w:tcPr>
            <w:tcW w:type="dxa" w:w="42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 (UTC)</w:t>
            </w:r>
          </w:p>
        </w:tc>
        <w:tc>
          <w:tcPr>
            <w:tcW w:type="dxa" w:w="332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CapabilityAudit_Interior_5x8 (4).pdf</w:t>
            </w:r>
            <w:r>
              <w:rPr>
                <w:sz w:val="16"/>
                <w:szCs w:val="16"/>
              </w:rPr>
              <w:t xml:space="preserve"> (121,987 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2026-07-11 21:03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Newest interior.</w:t>
            </w:r>
            <w:r>
              <w:rPr>
                <w:sz w:val="16"/>
                <w:szCs w:val="16"/>
              </w:rPr>
              <w:t xml:space="preserve"> 5×8 print interior, "(4)".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The_Capability_Audit_Reader_Version.pdf (150,500 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2026-06-17 00:28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Earlier reader-format version.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The_Capability_Audit.epub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2026-06-17 02:36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EPUB build.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CapabilityAudit_Cover_Wrap.pdf (2.68 MB)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2026-07-06 19:04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Cover wrap, not interior.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The_Capability_Audit (11/10/6).docx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2026-06-17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Manuscript sources.</w:t>
            </w:r>
          </w:p>
        </w:tc>
      </w:tr>
    </w:tbl>
    <w:p>
      <w:pPr>
        <w:spacing w:after="120" w:line="276"/>
      </w:pPr>
      <w:r>
        <w:rPr>
          <w:sz w:val="18"/>
          <w:szCs w:val="18"/>
        </w:rPr>
        <w:t xml:space="preserve">⚠ The site calls the book "forty-eight pages" (book.html:199,202; index.html:181), but your brief says 34pp. One is stale.</w:t>
      </w:r>
    </w:p>
    <w:p>
      <w:pPr>
        <w:pStyle w:val="Heading2"/>
        <w:spacing w:after="120" w:before="240"/>
      </w:pPr>
      <w:r>
        <w:t xml:space="preserve">Field Kit PDF (six+ versions — highest staleness risk)</w:t>
      </w:r>
    </w:p>
    <w:tbl>
      <w:tblPr>
        <w:tblW w:type="dxa" w:w="9120"/>
        <w:tblBorders>
          <w:top w:val="single" w:color="C9B36B" w:sz="4"/>
          <w:left w:val="single" w:color="C9B36B" w:sz="4"/>
          <w:bottom w:val="single" w:color="C9B36B" w:sz="4"/>
          <w:right w:val="single" w:color="C9B36B" w:sz="4"/>
          <w:insideH w:val="single" w:color="D8CBA6" w:sz="2"/>
          <w:insideV w:val="single" w:color="D8CBA6" w:sz="2"/>
        </w:tblBorders>
      </w:tblPr>
      <w:tblGrid>
        <w:gridCol w:w="4200"/>
        <w:gridCol w:w="1600"/>
        <w:gridCol w:w="3320"/>
      </w:tblGrid>
      <w:tr>
        <w:trPr>
          <w:tblHeader/>
        </w:trPr>
        <w:tc>
          <w:tcPr>
            <w:tcW w:type="dxa" w:w="42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 (UTC)</w:t>
            </w:r>
          </w:p>
        </w:tc>
        <w:tc>
          <w:tcPr>
            <w:tcW w:type="dxa" w:w="332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The_Capability_Formation_FieldKit.pdf</w:t>
            </w:r>
            <w:r>
              <w:rPr>
                <w:sz w:val="16"/>
                <w:szCs w:val="16"/>
              </w:rPr>
              <w:t xml:space="preserve"> (121,987 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2026-07-28 20:11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Newest.</w:t>
            </w:r>
            <w:r>
              <w:rPr>
                <w:sz w:val="16"/>
                <w:szCs w:val="16"/>
              </w:rPr>
              <w:t xml:space="preserve"> Same folder as the newest Diagnostic — likely your current working set.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 Capability Formation FieldKit.pdf (95,266 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2026-07-20 22:34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Prior build, different size.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 Capability Formation Field Kit.pdf (59,567 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2026-07-20 15:12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59 KB build.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 Capability Formation Field Kit (1).pdf (59,567 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2026-07-20 15:12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Duplicate of above.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The_20Capability_20Formation_20Field_20Kit.pdf (59,567 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2026-07-20 15:12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URL-encoded-name duplicate.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 Capability Formation Field Kit.pdf (other folder)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2026-07-19 20:17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Oldest 59 KB build.</w:t>
            </w:r>
          </w:p>
        </w:tc>
      </w:tr>
    </w:tbl>
    <w:p>
      <w:pPr>
        <w:pStyle w:val="Heading2"/>
        <w:spacing w:after="120" w:before="240"/>
      </w:pPr>
      <w:r>
        <w:t xml:space="preserve">Capability Formation Diagnostic PDF (three versions)</w:t>
      </w:r>
    </w:p>
    <w:tbl>
      <w:tblPr>
        <w:tblW w:type="dxa" w:w="9120"/>
        <w:tblBorders>
          <w:top w:val="single" w:color="C9B36B" w:sz="4"/>
          <w:left w:val="single" w:color="C9B36B" w:sz="4"/>
          <w:bottom w:val="single" w:color="C9B36B" w:sz="4"/>
          <w:right w:val="single" w:color="C9B36B" w:sz="4"/>
          <w:insideH w:val="single" w:color="D8CBA6" w:sz="2"/>
          <w:insideV w:val="single" w:color="D8CBA6" w:sz="2"/>
        </w:tblBorders>
      </w:tblPr>
      <w:tblGrid>
        <w:gridCol w:w="4200"/>
        <w:gridCol w:w="1600"/>
        <w:gridCol w:w="3320"/>
      </w:tblGrid>
      <w:tr>
        <w:trPr>
          <w:tblHeader/>
        </w:trPr>
        <w:tc>
          <w:tcPr>
            <w:tcW w:type="dxa" w:w="42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 (UTC)</w:t>
            </w:r>
          </w:p>
        </w:tc>
        <w:tc>
          <w:tcPr>
            <w:tcW w:type="dxa" w:w="332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The_Capability_Formation_Diagnostic_final (6).pdf</w:t>
            </w:r>
            <w:r>
              <w:rPr>
                <w:sz w:val="16"/>
                <w:szCs w:val="16"/>
              </w:rPr>
              <w:t xml:space="preserve"> (532,994 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2026-07-29 01:00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Newest.</w:t>
            </w:r>
            <w:r>
              <w:rPr>
                <w:sz w:val="16"/>
                <w:szCs w:val="16"/>
              </w:rPr>
              <w:t xml:space="preserve"> Content confirms canon: 12 statements, Density(1-6)/Optionality(7-12), high 19-30, low 6-18, boundary 17-21, matrix correct.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The_Capability_Formation_Diagnostic (3).pdf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2026-07-29 00:48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12 min earlier.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Capability Formation Diagnostic.pdf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2026-07-27 18:23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Two days older.</w:t>
            </w:r>
          </w:p>
        </w:tc>
      </w:tr>
    </w:tbl>
    <w:p>
      <w:pPr>
        <w:pStyle w:val="Heading2"/>
        <w:spacing w:after="120" w:before="240"/>
      </w:pPr>
      <w:r>
        <w:t xml:space="preserve">card.py, covers.py, CANON_editorial_constants.md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Not found</w:t>
      </w:r>
      <w:r>
        <w:rPr>
          <w:sz w:val="20"/>
          <w:szCs w:val="20"/>
        </w:rPr>
        <w:t xml:space="preserve"> in repo, git history, this container, or Drive. Drive has card/cover assets (JULY 2026 … BRAND CARDS/ folder; FourStates_*_SpotlightCard_*.svg/png; LinkedIn_Card_Diagnostic_*.png; cover-1280x720.svg/png, cover-1200x644.svg/png) and editorial notes (EDITORIAL NOTES/ folder; "JULY: Editorial Notes" doc) — but not the three code/constants files. They appear to live only on your machine.</w:t>
      </w:r>
    </w:p>
    <w:p>
      <w:pPr>
        <w:pStyle w:val="Heading2"/>
        <w:spacing w:after="120" w:before="240"/>
      </w:pPr>
      <w:r>
        <w:t xml:space="preserve">Retired-name artifacts still in Drive (item-5 relevant)</w:t>
      </w:r>
    </w:p>
    <w:tbl>
      <w:tblPr>
        <w:tblW w:type="dxa" w:w="9120"/>
        <w:tblBorders>
          <w:top w:val="single" w:color="C9B36B" w:sz="4"/>
          <w:left w:val="single" w:color="C9B36B" w:sz="4"/>
          <w:bottom w:val="single" w:color="C9B36B" w:sz="4"/>
          <w:right w:val="single" w:color="C9B36B" w:sz="4"/>
          <w:insideH w:val="single" w:color="D8CBA6" w:sz="2"/>
          <w:insideV w:val="single" w:color="D8CBA6" w:sz="2"/>
        </w:tblBorders>
      </w:tblPr>
      <w:tblGrid>
        <w:gridCol w:w="5200"/>
        <w:gridCol w:w="1600"/>
        <w:gridCol w:w="2320"/>
      </w:tblGrid>
      <w:tr>
        <w:trPr>
          <w:tblHeader/>
        </w:trPr>
        <w:tc>
          <w:tcPr>
            <w:tcW w:type="dxa" w:w="52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 (UTC)</w:t>
            </w:r>
          </w:p>
        </w:tc>
        <w:tc>
          <w:tcPr>
            <w:tcW w:type="dxa" w:w="232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 Capability Formation Audit Short Form.pdf (+ 3 near-duplicates)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2026-07-19 → 07-21</w:t>
            </w:r>
          </w:p>
        </w:tc>
        <w:tc>
          <w:tcPr>
            <w:tcW w:type="dxa" w:w="2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Use the retired name "Capability Formation Audit."</w:t>
            </w:r>
          </w:p>
        </w:tc>
      </w:tr>
      <w:tr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Capability_Formation_Audit_Short_Form.docx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2026-07-13 19:51</w:t>
            </w:r>
          </w:p>
        </w:tc>
        <w:tc>
          <w:tcPr>
            <w:tcW w:type="dxa" w:w="2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Same retired name.</w:t>
            </w:r>
          </w:p>
        </w:tc>
      </w:tr>
    </w:tbl>
    <w:p>
      <w:pPr>
        <w:pStyle w:val="Heading2"/>
        <w:spacing w:after="120" w:before="240"/>
      </w:pPr>
      <w:r>
        <w:t xml:space="preserve">Naming ruling docs (so you can confirm which governs)</w:t>
      </w:r>
    </w:p>
    <w:tbl>
      <w:tblPr>
        <w:tblW w:type="dxa" w:w="9120"/>
        <w:tblBorders>
          <w:top w:val="single" w:color="C9B36B" w:sz="4"/>
          <w:left w:val="single" w:color="C9B36B" w:sz="4"/>
          <w:bottom w:val="single" w:color="C9B36B" w:sz="4"/>
          <w:right w:val="single" w:color="C9B36B" w:sz="4"/>
          <w:insideH w:val="single" w:color="D8CBA6" w:sz="2"/>
          <w:insideV w:val="single" w:color="D8CBA6" w:sz="2"/>
        </w:tblBorders>
      </w:tblPr>
      <w:tblGrid>
        <w:gridCol w:w="4200"/>
        <w:gridCol w:w="1600"/>
        <w:gridCol w:w="3320"/>
      </w:tblGrid>
      <w:tr>
        <w:trPr>
          <w:tblHeader/>
        </w:trPr>
        <w:tc>
          <w:tcPr>
            <w:tcW w:type="dxa" w:w="42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 (UTC)</w:t>
            </w:r>
          </w:p>
        </w:tc>
        <w:tc>
          <w:tcPr>
            <w:tcW w:type="dxa" w:w="3320"/>
            <w:shd w:fill="0F23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Naming_Architecture_Ruling_July29_2026.docx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b/>
                <w:bCs/>
                <w:sz w:val="16"/>
                <w:szCs w:val="16"/>
              </w:rPr>
              <w:t xml:space="preserve">2026-07-30 01:25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The 2026-07-29 ruling you referenced — newest naming authority.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Capability_Formation_Naming_Ruling_v1_July24_2026.docx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2026-07-24 18:42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Superseded v1.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Capability Formation Funnel Audit … July29 2026.docx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2026-07-29 14:48</w:t>
            </w:r>
          </w:p>
        </w:tc>
        <w:tc>
          <w:tcPr>
            <w:tcW w:type="dxa" w:w="3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sz w:val="16"/>
                <w:szCs w:val="16"/>
              </w:rPr>
              <w:t xml:space="preserve">Related deployment pack.</w:t>
            </w:r>
          </w:p>
        </w:tc>
      </w:tr>
    </w:tbl>
    <w:p>
      <w:pPr>
        <w:spacing w:after="120" w:line="276"/>
      </w:pPr>
      <w:r>
        <w:rPr>
          <w:sz w:val="18"/>
          <w:szCs w:val="18"/>
        </w:rPr>
        <w:t xml:space="preserve">Note: this Drive listing is not exhaustive — the query paginated and I stopped after capturing the newest of each requested artifact. I did not assume any file you hold is current; I can't see your local copies. On your word I'll download and send back any of the newest PDFs above (Field Kit 07-28, Diagnostic final (6) 07-29, interior (4) 07-11), or diff card.py/covers.py/CANON_editorial_constants.md if you add them to the repo.</w:t>
      </w:r>
    </w:p>
    <w:p>
      <w:pPr>
        <w:pStyle w:val="Heading1"/>
        <w:spacing w:after="120" w:before="240"/>
      </w:pPr>
      <w:r>
        <w:t xml:space="preserve">Flagged for your ruling (no edits made)</w:t>
      </w:r>
    </w:p>
    <w:p>
      <w:pPr>
        <w:spacing w:after="80"/>
      </w:pPr>
      <w:r>
        <w:rPr>
          <w:sz w:val="20"/>
          <w:szCs w:val="20"/>
        </w:rPr>
        <w:t xml:space="preserve">1.  </w:t>
      </w:r>
      <w:r>
        <w:rPr>
          <w:b/>
          <w:bCs/>
          <w:sz w:val="20"/>
          <w:szCs w:val="20"/>
        </w:rPr>
        <w:t xml:space="preserve">Item 9</w:t>
      </w:r>
      <w:r>
        <w:rPr>
          <w:sz w:val="20"/>
          <w:szCs w:val="20"/>
        </w:rPr>
        <w:t xml:space="preserve"> — numbers attributed to SaaS/life-sciences roles on /work, not to Deloitte/EY/PwC. Canon vs. live-copy conflict.</w:t>
      </w:r>
    </w:p>
    <w:p>
      <w:pPr>
        <w:spacing w:after="80"/>
      </w:pPr>
      <w:r>
        <w:rPr>
          <w:sz w:val="20"/>
          <w:szCs w:val="20"/>
        </w:rPr>
        <w:t xml:space="preserve">2.  </w:t>
      </w:r>
      <w:r>
        <w:rPr>
          <w:b/>
          <w:bCs/>
          <w:sz w:val="20"/>
          <w:szCs w:val="20"/>
        </w:rPr>
        <w:t xml:space="preserve">Item 5</w:t>
      </w:r>
      <w:r>
        <w:rPr>
          <w:sz w:val="20"/>
          <w:szCs w:val="20"/>
        </w:rPr>
        <w:t xml:space="preserve"> — the entire "AI Capability Readiness Diagnostic" instrument is unruled and promoted from /diagnostic.</w:t>
      </w:r>
    </w:p>
    <w:p>
      <w:pPr>
        <w:spacing w:after="80"/>
      </w:pPr>
      <w:r>
        <w:rPr>
          <w:sz w:val="20"/>
          <w:szCs w:val="20"/>
        </w:rPr>
        <w:t xml:space="preserve">3.  </w:t>
      </w:r>
      <w:r>
        <w:rPr>
          <w:b/>
          <w:bCs/>
          <w:sz w:val="20"/>
          <w:szCs w:val="20"/>
        </w:rPr>
        <w:t xml:space="preserve">Item 4</w:t>
      </w:r>
      <w:r>
        <w:rPr>
          <w:sz w:val="20"/>
          <w:szCs w:val="20"/>
        </w:rPr>
        <w:t xml:space="preserve"> — the paid Field Kit promises numbered case studies that /case-studies doesn't contain.</w:t>
      </w:r>
    </w:p>
    <w:p>
      <w:pPr>
        <w:spacing w:after="80"/>
      </w:pPr>
      <w:r>
        <w:rPr>
          <w:sz w:val="20"/>
          <w:szCs w:val="20"/>
        </w:rPr>
        <w:t xml:space="preserve">4.  </w:t>
      </w:r>
      <w:r>
        <w:rPr>
          <w:b/>
          <w:bCs/>
          <w:sz w:val="20"/>
          <w:szCs w:val="20"/>
        </w:rPr>
        <w:t xml:space="preserve">Item 6</w:t>
      </w:r>
      <w:r>
        <w:rPr>
          <w:sz w:val="20"/>
          <w:szCs w:val="20"/>
        </w:rPr>
        <w:t xml:space="preserve"> — book waitlist ("hear it first"/"know before anyone") and coaching "Waitlist Open" vs. "No waiting list" contradiction.</w:t>
      </w:r>
    </w:p>
    <w:p>
      <w:pPr>
        <w:spacing w:after="80"/>
      </w:pPr>
      <w:r>
        <w:rPr>
          <w:sz w:val="20"/>
          <w:szCs w:val="20"/>
        </w:rPr>
        <w:t xml:space="preserve">5.  </w:t>
      </w:r>
      <w:r>
        <w:rPr>
          <w:b/>
          <w:bCs/>
          <w:sz w:val="20"/>
          <w:szCs w:val="20"/>
        </w:rPr>
        <w:t xml:space="preserve">Item 7</w:t>
      </w:r>
      <w:r>
        <w:rPr>
          <w:sz w:val="20"/>
          <w:szCs w:val="20"/>
        </w:rPr>
        <w:t xml:space="preserve"> — meta/pillars imply three scored pillars; body copy already says two. Fix copy or build pillar three.</w:t>
      </w:r>
    </w:p>
    <w:p>
      <w:pPr>
        <w:spacing w:after="80"/>
      </w:pPr>
      <w:r>
        <w:rPr>
          <w:sz w:val="20"/>
          <w:szCs w:val="20"/>
        </w:rPr>
        <w:t xml:space="preserve">6.  </w:t>
      </w:r>
      <w:r>
        <w:rPr>
          <w:b/>
          <w:bCs/>
          <w:sz w:val="20"/>
          <w:szCs w:val="20"/>
        </w:rPr>
        <w:t xml:space="preserve">Book length</w:t>
      </w:r>
      <w:r>
        <w:rPr>
          <w:sz w:val="20"/>
          <w:szCs w:val="20"/>
        </w:rPr>
        <w:t xml:space="preserve"> — "48 pages" on site vs. "34pp" in your brief.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0F23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7A5C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Link, Naming &amp; Version Audit — temidayoafonja.com</dc:title>
  <dc:creator>Claude Code</dc:creator>
  <cp:lastModifiedBy>Un-named</cp:lastModifiedBy>
  <cp:revision>1</cp:revision>
  <dcterms:created xsi:type="dcterms:W3CDTF">2026-07-30T15:55:07.356Z</dcterms:created>
  <dcterms:modified xsi:type="dcterms:W3CDTF">2026-07-30T15:55:07.358Z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