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Final title  </w:t>
      </w:r>
      <w:r>
        <w:rPr>
          <w:sz w:val="21"/>
        </w:rPr>
        <w:t>Decode a Job Description in 10 Minutes</w:t>
      </w:r>
    </w:p>
    <w:p>
      <w:pPr>
        <w:spacing w:after="80"/>
      </w:pPr>
      <w:r>
        <w:rPr>
          <w:b/>
          <w:color w:val="8A6D1E"/>
          <w:sz w:val="20"/>
        </w:rPr>
        <w:t xml:space="preserve">Final thumbnail wording  </w:t>
      </w:r>
      <w:r>
        <w:rPr>
          <w:sz w:val="21"/>
        </w:rPr>
        <w:t>IGNORE THE TITLE</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Career Evidence Starter</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Once you know how to read what the role really requires, the next question is whether your own experience gives you the proof for it. Watch “Turn One Accomplishment Into Proof in 10 Minutes”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