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PUBLIC V7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I’ve Seen Who Gets the Bigger Role and Why</w:t>
      </w:r>
    </w:p>
    <w:p>
      <w:pPr>
        <w:spacing w:after="80"/>
      </w:pPr>
      <w:r>
        <w:rPr>
          <w:b/>
          <w:color w:val="8A6D1E"/>
          <w:sz w:val="20"/>
        </w:rPr>
        <w:t xml:space="preserve">Angle  </w:t>
      </w:r>
      <w:r>
        <w:rPr>
          <w:sz w:val="21"/>
        </w:rPr>
        <w:t>Ask for the Work That Proves the Next Level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74 words, about 0:27 at 165 words per minute, arithmetic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Wednesday, September 16, 2026 | 3:21 PM CT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STOP SCROLL</w:t>
      </w:r>
    </w:p>
    <w:p>
      <w:pPr>
        <w:spacing w:before="0" w:after="80"/>
      </w:pPr>
      <w:r>
        <w:rPr>
          <w:b/>
          <w:i w:val="0"/>
          <w:sz w:val="26"/>
        </w:rPr>
        <w:t>If you want a bigger role, do not only ask for more responsibility.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HOLD ATTENTION</w:t>
      </w:r>
    </w:p>
    <w:p>
      <w:pPr>
        <w:spacing w:before="0" w:after="80"/>
      </w:pPr>
      <w:r>
        <w:rPr>
          <w:b w:val="0"/>
          <w:i w:val="0"/>
          <w:sz w:val="22"/>
        </w:rPr>
        <w:t>Ask what kind of responsibility.</w:t>
      </w:r>
    </w:p>
    <w:p>
      <w:pPr>
        <w:spacing w:before="0" w:after="80"/>
      </w:pPr>
      <w:r>
        <w:rPr>
          <w:b w:val="0"/>
          <w:i w:val="0"/>
          <w:sz w:val="22"/>
        </w:rPr>
        <w:t>What decisions will I get to make? What problem will I own from beginning to end? What level of stakeholder will I work with? What evidence would show that I am ready for the next level?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80"/>
      </w:pPr>
      <w:r>
        <w:rPr>
          <w:b/>
          <w:i w:val="0"/>
          <w:sz w:val="22"/>
        </w:rPr>
        <w:t>That changes the question from: “Can I help more?” to: “What would let me practice the next level of work?”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OPENING, SPECIFIC TO THIS SHORT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4824"/>
        <w:gridCol w:w="4824"/>
      </w:tblGrid>
      <w:tr>
        <w:trPr>
          <w:tblHeader w:val="true"/>
        </w:trPr>
        <w:tc>
          <w:tcPr>
            <w:tcW w:type="dxa" w:w="230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734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On-screen text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Ask what kind of responsibility.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Opening visual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Camera, 9:16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Sound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One accent, on “responsibility”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Cut to NEW_V7_FS_07_ASK_WHAT_KIND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on “What decisions will I get to make?”</w:t>
            </w:r>
          </w:p>
        </w:tc>
      </w:tr>
      <w:tr>
        <w:tc>
          <w:tcPr>
            <w:tcW w:type="dxa" w:w="230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Payoff frame</w:t>
            </w:r>
          </w:p>
        </w:tc>
        <w:tc>
          <w:tcPr>
            <w:tcW w:type="dxa" w:w="734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NEW_V7_FS_08_CHANGES_THE_CONVERSATION, held on the ask</w:t>
            </w:r>
          </w:p>
        </w:tc>
      </w:tr>
    </w:tbl>
    <w:p>
      <w:pPr>
        <w:spacing w:after="120"/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EVERY LINE ABOVE</w:t>
      </w:r>
    </w:p>
    <w:p>
      <w:pPr>
        <w:spacing w:before="0" w:after="160"/>
      </w:pPr>
      <w:r>
        <w:rPr>
          <w:b w:val="0"/>
          <w:i w:val="0"/>
          <w:sz w:val="21"/>
        </w:rPr>
        <w:t>Verbatim from the reconciled master. No narration was invented and no sentences were joined into a claim the script does not make. The list it teaches is complete, every reference has its antecedent inside the Short, and the ask is one action.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Final captions and timecodes follow the final Short export.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