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137 words, about 0:50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know from experience that changing context does not mean starting from zero. But I also know that not everything comes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 what belonged to the old place. Internal relationships. Company systems. 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 Knowing exactly who to call. Knowing how that company really gets things done.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 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someone asks why your experience should count in a new field, you do not have to say: “Everything I have done transfers.”</w:t>
      </w:r>
    </w:p>
    <w:p>
      <w:pPr>
        <w:spacing w:before="0" w:after="80"/>
      </w:pPr>
      <w:r>
        <w:rPr>
          <w:b/>
          <w:i w:val="0"/>
          <w:sz w:val="22"/>
        </w:rPr>
        <w:t>Try something more honest: “The part of my experience that is most useful here is X. I have used it to solve Y kind of problem. The part I would need to build in your environment is Z.”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comes with you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“zero”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NEW_V9_FS_05_TIED_TO_THE_OLD_CONTEXT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“Internal relationships.”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NEW_V9_FS_06_WHAT_CAN_ANOTHER_PERSON_SEE,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