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b/>
          <w:i w:val="0"/>
          <w:color w:val="8A6D1E"/>
          <w:sz w:val="18"/>
        </w:rPr>
        <w:t>CAPABILITY FORMATION | SYNCHRONIZED PRODUCTION</w:t>
      </w:r>
    </w:p>
    <w:p>
      <w:pPr>
        <w:spacing w:before="0" w:after="80"/>
      </w:pPr>
      <w:r>
        <w:rPr>
          <w:b/>
          <w:i w:val="0"/>
          <w:color w:val="112345"/>
          <w:sz w:val="42"/>
        </w:rPr>
        <w:t>Your First 90 Days in a New Job: What Really Matters</w:t>
      </w:r>
    </w:p>
    <w:p>
      <w:pPr>
        <w:spacing w:before="0" w:after="280"/>
      </w:pPr>
      <w:r>
        <w:rPr>
          <w:b w:val="0"/>
          <w:i w:val="0"/>
          <w:color w:val="5A6B82"/>
          <w:sz w:val="20"/>
        </w:rPr>
        <w:t>Evidence and boundary notes</w:t>
      </w:r>
    </w:p>
    <w:p>
      <w:pPr>
        <w:spacing w:before="0" w:after="240"/>
        <w:pBdr>
          <w:bottom w:val="single" w:sz="6" w:color="8A6D1E"/>
        </w:pBdr>
      </w:pPr>
    </w:p>
    <w:p>
      <w:pPr>
        <w:spacing w:after="80"/>
      </w:pPr>
      <w:r>
        <w:rPr>
          <w:b/>
          <w:color w:val="8A6D1E"/>
          <w:sz w:val="20"/>
        </w:rPr>
        <w:t xml:space="preserve">New public number  </w:t>
      </w:r>
      <w:r>
        <w:rPr>
          <w:sz w:val="21"/>
        </w:rPr>
        <w:t>V10</w:t>
      </w:r>
    </w:p>
    <w:p>
      <w:pPr>
        <w:spacing w:after="80"/>
      </w:pPr>
      <w:r>
        <w:rPr>
          <w:b/>
          <w:color w:val="8A6D1E"/>
          <w:sz w:val="20"/>
        </w:rPr>
        <w:t xml:space="preserve">Generated  </w:t>
      </w:r>
      <w:r>
        <w:rPr>
          <w:sz w:val="21"/>
        </w:rPr>
        <w:t>Wednesday, September 16, 2026 | 3:21 PM CT</w:t>
      </w:r>
    </w:p>
    <w:p>
      <w:pPr>
        <w:spacing w:before="320" w:after="120"/>
        <w:keepNext w:val="1"/>
        <w:keepLines w:val="1"/>
      </w:pPr>
      <w:r>
        <w:rPr>
          <w:b/>
          <w:i w:val="0"/>
          <w:color w:val="112345"/>
          <w:sz w:val="26"/>
        </w:rPr>
        <w:t>BOUNDARIES THIS VIDEO KEEPS</w:t>
      </w:r>
    </w:p>
    <w:p>
      <w:pPr>
        <w:spacing w:after="80" w:line="278" w:lineRule="auto"/>
        <w:ind w:left="547" w:hanging="230"/>
      </w:pPr>
      <w:r>
        <w:rPr>
          <w:sz w:val="20"/>
        </w:rPr>
        <w:t>•   Real gaps, credentials, regulation, domain knowledge, relationships, access, employer constraints, compensation, bias, markets and life constraints all stay visible.</w:t>
      </w:r>
    </w:p>
    <w:p>
      <w:pPr>
        <w:spacing w:after="80" w:line="278" w:lineRule="auto"/>
        <w:ind w:left="547" w:hanging="230"/>
      </w:pPr>
      <w:r>
        <w:rPr>
          <w:sz w:val="20"/>
        </w:rPr>
        <w:t>•   Adjacent experience is never equated with direct experience.</w:t>
      </w:r>
    </w:p>
    <w:p>
      <w:pPr>
        <w:spacing w:after="80" w:line="278" w:lineRule="auto"/>
        <w:ind w:left="547" w:hanging="230"/>
      </w:pPr>
      <w:r>
        <w:rPr>
          <w:sz w:val="20"/>
        </w:rPr>
        <w:t>•   Role mismatch is never equated with betrayal.</w:t>
      </w:r>
    </w:p>
    <w:p>
      <w:pPr>
        <w:spacing w:after="80" w:line="278" w:lineRule="auto"/>
        <w:ind w:left="547" w:hanging="230"/>
      </w:pPr>
      <w:r>
        <w:rPr>
          <w:sz w:val="20"/>
        </w:rPr>
        <w:t>•   AI automation is never equated with guaranteed capability loss.</w:t>
      </w:r>
    </w:p>
    <w:p>
      <w:pPr>
        <w:spacing w:after="80" w:line="278" w:lineRule="auto"/>
        <w:ind w:left="547" w:hanging="230"/>
      </w:pPr>
      <w:r>
        <w:rPr>
          <w:sz w:val="20"/>
        </w:rPr>
        <w:t>•   Advancement is never reduced to pure merit.</w:t>
      </w:r>
    </w:p>
    <w:p>
      <w:pPr>
        <w:spacing w:after="80" w:line="278" w:lineRule="auto"/>
        <w:ind w:left="547" w:hanging="230"/>
      </w:pPr>
      <w:r>
        <w:rPr>
          <w:sz w:val="20"/>
        </w:rPr>
        <w:t>•   No framework delivers a universal verdict.</w:t>
      </w:r>
    </w:p>
    <w:p>
      <w:pPr>
        <w:spacing w:before="320" w:after="120"/>
        <w:keepNext w:val="1"/>
        <w:keepLines w:val="1"/>
      </w:pPr>
      <w:r>
        <w:rPr>
          <w:b/>
          <w:i w:val="0"/>
          <w:color w:val="112345"/>
          <w:sz w:val="26"/>
        </w:rPr>
        <w:t>RETAINED DISPLAY COPY AND ITS SUPPORT</w:t>
      </w:r>
    </w:p>
    <w:tbl>
      <w:tblPr>
        <w:tblW w:type="auto" w:w="0"/>
        <w:jc w:val="left"/>
        <w:tblBorders>
          <w:top w:val="single" w:sz="4" w:space="0" w:color="C9BFA8"/>
          <w:left w:val="single" w:sz="4" w:space="0" w:color="C9BFA8"/>
          <w:bottom w:val="single" w:sz="4" w:space="0" w:color="C9BFA8"/>
          <w:right w:val="single" w:sz="4" w:space="0" w:color="C9BFA8"/>
          <w:insideH w:val="single" w:sz="4" w:space="0" w:color="C9BFA8"/>
          <w:insideV w:val="single" w:sz="4" w:space="0" w:color="C9BFA8"/>
        </w:tblBorders>
        <w:tblLayout w:type="fixed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rPr>
          <w:tblHeader w:val="true"/>
        </w:trPr>
        <w:tc>
          <w:tcPr>
            <w:tcW w:type="dxa" w:w="2736"/>
            <w:shd w:val="clear" w:color="auto" w:fill="F3EFE6"/>
          </w:tcPr>
          <w:p>
            <w:pPr>
              <w:spacing w:before="60" w:after="60" w:line="264" w:lineRule="auto"/>
            </w:pPr>
            <w:r/>
            <w:r>
              <w:rPr>
                <w:b/>
                <w:i w:val="0"/>
                <w:color w:val="112345"/>
                <w:sz w:val="17"/>
              </w:rPr>
              <w:t>FAMILY</w:t>
            </w:r>
          </w:p>
        </w:tc>
        <w:tc>
          <w:tcPr>
            <w:tcW w:type="dxa" w:w="3744"/>
            <w:shd w:val="clear" w:color="auto" w:fill="F3EFE6"/>
          </w:tcPr>
          <w:p>
            <w:pPr>
              <w:spacing w:before="60" w:after="60" w:line="264" w:lineRule="auto"/>
            </w:pPr>
            <w:r/>
            <w:r>
              <w:rPr>
                <w:b/>
                <w:i w:val="0"/>
                <w:color w:val="112345"/>
                <w:sz w:val="17"/>
              </w:rPr>
              <w:t>LINE</w:t>
            </w:r>
          </w:p>
        </w:tc>
        <w:tc>
          <w:tcPr>
            <w:tcW w:type="dxa" w:w="1152"/>
            <w:shd w:val="clear" w:color="auto" w:fill="F3EFE6"/>
          </w:tcPr>
          <w:p>
            <w:pPr>
              <w:spacing w:before="60" w:after="60" w:line="264" w:lineRule="auto"/>
            </w:pPr>
            <w:r/>
            <w:r>
              <w:rPr>
                <w:b/>
                <w:i w:val="0"/>
                <w:color w:val="112345"/>
                <w:sz w:val="17"/>
              </w:rPr>
              <w:t>KIND</w:t>
            </w:r>
          </w:p>
        </w:tc>
        <w:tc>
          <w:tcPr>
            <w:tcW w:type="dxa" w:w="2016"/>
            <w:shd w:val="clear" w:color="auto" w:fill="F3EFE6"/>
          </w:tcPr>
          <w:p>
            <w:pPr>
              <w:spacing w:before="60" w:after="60" w:line="264" w:lineRule="auto"/>
            </w:pPr>
            <w:r/>
            <w:r>
              <w:rPr>
                <w:b/>
                <w:i w:val="0"/>
                <w:color w:val="112345"/>
                <w:sz w:val="17"/>
              </w:rPr>
              <w:t>SUPPORTING SECTION</w:t>
            </w:r>
          </w:p>
        </w:tc>
      </w:tr>
      <w:tr>
        <w:tc>
          <w:tcPr>
            <w:tcW w:type="dxa" w:w="2736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4"/>
              </w:rPr>
              <w:t>NEW_V10_FS_01_READ_TEST_PROVE</w:t>
            </w:r>
          </w:p>
        </w:tc>
        <w:tc>
          <w:tcPr>
            <w:tcW w:type="dxa" w:w="374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4"/>
              </w:rPr>
              <w:t>Three things to figure out.</w:t>
            </w:r>
          </w:p>
        </w:tc>
        <w:tc>
          <w:tcPr>
            <w:tcW w:type="dxa" w:w="1152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4"/>
              </w:rPr>
              <w:t>SUMMARY</w:t>
            </w:r>
          </w:p>
        </w:tc>
        <w:tc>
          <w:tcPr>
            <w:tcW w:type="dxa" w:w="2016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4"/>
              </w:rPr>
              <w:t>HOOK</w:t>
            </w:r>
          </w:p>
        </w:tc>
      </w:tr>
      <w:tr>
        <w:tc>
          <w:tcPr>
            <w:tcW w:type="dxa" w:w="2736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4"/>
              </w:rPr>
              <w:t>NEW_V10_FS_01_READ_TEST_PROVE</w:t>
            </w:r>
          </w:p>
        </w:tc>
        <w:tc>
          <w:tcPr>
            <w:tcW w:type="dxa" w:w="374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4"/>
              </w:rPr>
              <w:t>What can I begin to prove in this environment?</w:t>
            </w:r>
          </w:p>
        </w:tc>
        <w:tc>
          <w:tcPr>
            <w:tcW w:type="dxa" w:w="1152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4"/>
              </w:rPr>
              <w:t>SUMMARY</w:t>
            </w:r>
          </w:p>
        </w:tc>
        <w:tc>
          <w:tcPr>
            <w:tcW w:type="dxa" w:w="2016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4"/>
              </w:rPr>
              <w:t>HOOK</w:t>
            </w:r>
          </w:p>
        </w:tc>
      </w:tr>
      <w:tr>
        <w:tc>
          <w:tcPr>
            <w:tcW w:type="dxa" w:w="2736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4"/>
              </w:rPr>
              <w:t>NEW_V10_FS_01_READ_TEST_PROVE</w:t>
            </w:r>
          </w:p>
        </w:tc>
        <w:tc>
          <w:tcPr>
            <w:tcW w:type="dxa" w:w="374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4"/>
              </w:rPr>
              <w:t>What do I need to learn about this context?</w:t>
            </w:r>
          </w:p>
        </w:tc>
        <w:tc>
          <w:tcPr>
            <w:tcW w:type="dxa" w:w="1152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4"/>
              </w:rPr>
              <w:t>SUMMARY</w:t>
            </w:r>
          </w:p>
        </w:tc>
        <w:tc>
          <w:tcPr>
            <w:tcW w:type="dxa" w:w="2016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4"/>
              </w:rPr>
              <w:t>HOOK</w:t>
            </w:r>
          </w:p>
        </w:tc>
      </w:tr>
      <w:tr>
        <w:tc>
          <w:tcPr>
            <w:tcW w:type="dxa" w:w="2736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4"/>
              </w:rPr>
              <w:t>NEW_V10_FS_03_READ_FOUR_THINGS</w:t>
            </w:r>
          </w:p>
        </w:tc>
        <w:tc>
          <w:tcPr>
            <w:tcW w:type="dxa" w:w="374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4"/>
              </w:rPr>
              <w:t>Pay attention to four things.</w:t>
            </w:r>
          </w:p>
        </w:tc>
        <w:tc>
          <w:tcPr>
            <w:tcW w:type="dxa" w:w="1152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4"/>
              </w:rPr>
              <w:t>SUMMARY</w:t>
            </w:r>
          </w:p>
        </w:tc>
        <w:tc>
          <w:tcPr>
            <w:tcW w:type="dxa" w:w="2016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4"/>
              </w:rPr>
              <w:t>1 | READ</w:t>
            </w:r>
          </w:p>
        </w:tc>
      </w:tr>
      <w:tr>
        <w:tc>
          <w:tcPr>
            <w:tcW w:type="dxa" w:w="2736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4"/>
              </w:rPr>
              <w:t>NEW_V10_FS_04_FORMAL_VS_REAL</w:t>
            </w:r>
          </w:p>
        </w:tc>
        <w:tc>
          <w:tcPr>
            <w:tcW w:type="dxa" w:w="374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4"/>
              </w:rPr>
              <w:t>The formal job. The real one.</w:t>
            </w:r>
          </w:p>
        </w:tc>
        <w:tc>
          <w:tcPr>
            <w:tcW w:type="dxa" w:w="1152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4"/>
              </w:rPr>
              <w:t>SUMMARY</w:t>
            </w:r>
          </w:p>
        </w:tc>
        <w:tc>
          <w:tcPr>
            <w:tcW w:type="dxa" w:w="2016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4"/>
              </w:rPr>
              <w:t>1 | READ</w:t>
            </w:r>
          </w:p>
        </w:tc>
      </w:tr>
      <w:tr>
        <w:tc>
          <w:tcPr>
            <w:tcW w:type="dxa" w:w="2736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4"/>
              </w:rPr>
              <w:t>NEW_V10_FS_04_FORMAL_VS_REAL</w:t>
            </w:r>
          </w:p>
        </w:tc>
        <w:tc>
          <w:tcPr>
            <w:tcW w:type="dxa" w:w="374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4"/>
              </w:rPr>
              <w:t>The role as it works</w:t>
            </w:r>
          </w:p>
        </w:tc>
        <w:tc>
          <w:tcPr>
            <w:tcW w:type="dxa" w:w="1152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4"/>
              </w:rPr>
              <w:t>SUMMARY</w:t>
            </w:r>
          </w:p>
        </w:tc>
        <w:tc>
          <w:tcPr>
            <w:tcW w:type="dxa" w:w="2016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4"/>
              </w:rPr>
              <w:t>2 | TEST</w:t>
            </w:r>
          </w:p>
        </w:tc>
      </w:tr>
      <w:tr>
        <w:tc>
          <w:tcPr>
            <w:tcW w:type="dxa" w:w="2736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4"/>
              </w:rPr>
              <w:t>NEW_V10_FS_04_FORMAL_VS_REAL</w:t>
            </w:r>
          </w:p>
        </w:tc>
        <w:tc>
          <w:tcPr>
            <w:tcW w:type="dxa" w:w="374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4"/>
              </w:rPr>
              <w:t>The role as written</w:t>
            </w:r>
          </w:p>
        </w:tc>
        <w:tc>
          <w:tcPr>
            <w:tcW w:type="dxa" w:w="1152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4"/>
              </w:rPr>
              <w:t>EVIDENCE</w:t>
            </w:r>
          </w:p>
        </w:tc>
        <w:tc>
          <w:tcPr>
            <w:tcW w:type="dxa" w:w="2016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4"/>
              </w:rPr>
              <w:t>HOOK</w:t>
            </w:r>
          </w:p>
        </w:tc>
      </w:tr>
      <w:tr>
        <w:tc>
          <w:tcPr>
            <w:tcW w:type="dxa" w:w="2736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4"/>
              </w:rPr>
              <w:t>NEW_V10_FS_05_TWO_SENTENCES</w:t>
            </w:r>
          </w:p>
        </w:tc>
        <w:tc>
          <w:tcPr>
            <w:tcW w:type="dxa" w:w="374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4"/>
              </w:rPr>
              <w:t>One assumes. One asks.</w:t>
            </w:r>
          </w:p>
        </w:tc>
        <w:tc>
          <w:tcPr>
            <w:tcW w:type="dxa" w:w="1152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4"/>
              </w:rPr>
              <w:t>SUMMARY</w:t>
            </w:r>
          </w:p>
        </w:tc>
        <w:tc>
          <w:tcPr>
            <w:tcW w:type="dxa" w:w="2016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4"/>
              </w:rPr>
              <w:t>WHAT READ DOES NOT MEAN</w:t>
            </w:r>
          </w:p>
        </w:tc>
      </w:tr>
      <w:tr>
        <w:tc>
          <w:tcPr>
            <w:tcW w:type="dxa" w:w="2736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4"/>
              </w:rPr>
              <w:t>NEW_V10_FS_05_TWO_SENTENCES</w:t>
            </w:r>
          </w:p>
        </w:tc>
        <w:tc>
          <w:tcPr>
            <w:tcW w:type="dxa" w:w="374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4"/>
              </w:rPr>
              <w:t>“At my old company, we did it this way.”</w:t>
            </w:r>
          </w:p>
        </w:tc>
        <w:tc>
          <w:tcPr>
            <w:tcW w:type="dxa" w:w="1152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4"/>
              </w:rPr>
              <w:t>QUOTE</w:t>
            </w:r>
          </w:p>
        </w:tc>
        <w:tc>
          <w:tcPr>
            <w:tcW w:type="dxa" w:w="2016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4"/>
              </w:rPr>
              <w:t>1 | READ</w:t>
            </w:r>
          </w:p>
        </w:tc>
      </w:tr>
      <w:tr>
        <w:tc>
          <w:tcPr>
            <w:tcW w:type="dxa" w:w="2736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4"/>
              </w:rPr>
              <w:t>NEW_V10_FS_06_MANAGER_CONVERSATION</w:t>
            </w:r>
          </w:p>
        </w:tc>
        <w:tc>
          <w:tcPr>
            <w:tcW w:type="dxa" w:w="374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4"/>
              </w:rPr>
              <w:t>Not “How am I doing?”</w:t>
            </w:r>
          </w:p>
        </w:tc>
        <w:tc>
          <w:tcPr>
            <w:tcW w:type="dxa" w:w="1152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4"/>
              </w:rPr>
              <w:t>QUOTE</w:t>
            </w:r>
          </w:p>
        </w:tc>
        <w:tc>
          <w:tcPr>
            <w:tcW w:type="dxa" w:w="2016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4"/>
              </w:rPr>
              <w:t>THE CONVERSATION I WOULD HAVE</w:t>
            </w:r>
          </w:p>
        </w:tc>
      </w:tr>
    </w:tbl>
    <w:p>
      <w:pPr>
        <w:spacing w:after="120"/>
      </w:pPr>
    </w:p>
    <w:p>
      <w:pPr>
        <w:spacing w:before="100" w:after="200"/>
      </w:pPr>
      <w:r>
        <w:rPr>
          <w:b w:val="0"/>
          <w:i w:val="0"/>
          <w:color w:val="5A6B82"/>
          <w:sz w:val="19"/>
        </w:rPr>
        <w:t>A slide is not a transcript. Exactness is required for quotations, figures, named framework terms and reproduced evidence. A faithful display heading or summary is logged here with the passage that supports it.</w:t>
      </w:r>
    </w:p>
    <w:p>
      <w:pPr>
        <w:spacing w:before="320" w:after="120"/>
        <w:keepNext w:val="1"/>
        <w:keepLines w:val="1"/>
      </w:pPr>
      <w:r>
        <w:rPr>
          <w:b/>
          <w:i w:val="0"/>
          <w:color w:val="112345"/>
          <w:sz w:val="26"/>
        </w:rPr>
        <w:t>NEVER, IN ANY OF THESE VIDEOS</w:t>
      </w:r>
    </w:p>
    <w:p>
      <w:pPr>
        <w:spacing w:after="80" w:line="278" w:lineRule="auto"/>
        <w:ind w:left="547" w:hanging="230"/>
      </w:pPr>
      <w:r>
        <w:rPr>
          <w:sz w:val="20"/>
        </w:rPr>
        <w:t>•   No invented research, personal story, employer motive, outcome, runtime, performance figure, URL or licence claim.</w:t>
      </w:r>
    </w:p>
    <w:p>
      <w:pPr>
        <w:spacing w:after="80" w:line="278" w:lineRule="auto"/>
        <w:ind w:left="547" w:hanging="230"/>
      </w:pPr>
      <w:r>
        <w:rPr>
          <w:sz w:val="20"/>
        </w:rPr>
        <w:t>•   No chapters and no SRT timing before the finished export.</w:t>
      </w:r>
    </w:p>
    <w:p>
      <w:pPr>
        <w:spacing w:after="80" w:line="278" w:lineRule="auto"/>
        <w:ind w:left="547" w:hanging="230"/>
      </w:pPr>
      <w:r>
        <w:rPr>
          <w:sz w:val="20"/>
        </w:rPr>
        <w:t>•   No second spoken CTA. Faith content is description-only.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83" w:lineRule="auto"/>
    </w:pPr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