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 CANDIDATE  ·  Revised Saturday, August 15, 2026 at 4:05 PM CT</w:t>
            </w:r>
          </w:p>
        </w:tc>
      </w:tr>
    </w:tbl>
    <w:p>
      <w:pPr>
        <w:spacing w:after="80"/>
      </w:pPr>
    </w:p>
    <w:p>
      <w:pPr>
        <w:spacing w:after="160"/>
      </w:pPr>
      <w:r>
        <w:rPr>
          <w:b/>
          <w:i w:val="0"/>
          <w:color w:val="B00000"/>
          <w:sz w:val="21"/>
        </w:rPr>
        <w:t>PRODUCTION REVISION STAMP — Revised Saturday, August 15, 2026 at 4:05 PM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pPr>
      <w:r>
        <w:rPr>
          <w:color w:val="555555"/>
          <w:sz w:val="16"/>
        </w:rPr>
        <w:t>――――――――――――――――――――――――――――――――――――――――――――――――――――――――――――――――――――――――――――――――――――――――――</w:t>
      </w: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c>
          <w:tcPr>
            <w:tcW w:type="dxa" w:w="3312"/>
          </w:tcPr>
          <w:p>
            <w:r/>
            <w:r>
              <w:rPr>
                <w:b/>
                <w:sz w:val="19"/>
              </w:rPr>
              <w:t>The “What moved” interaction</w:t>
            </w:r>
          </w:p>
        </w:tc>
        <w:tc>
          <w:tcPr>
            <w:tcW w:type="dxa" w:w="6336"/>
          </w:tcPr>
          <w:p>
            <w:r/>
            <w:r>
              <w:rPr>
                <w:sz w:val="19"/>
              </w:rPr>
              <w:t>Removed from the timed core entirely and moved to the appendix as a hidden slide, with a note stating it is not part of the fifty minutes.</w:t>
            </w:r>
          </w:p>
        </w:tc>
      </w:tr>
      <w:t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pPr>
      <w:r>
        <w:rPr>
          <w:color w:val="555555"/>
          <w:sz w:val="16"/>
        </w:rPr>
        <w:t>――――――――――――――――――――――――――――――――――――――――――――――――――――――――――――――――――――――――――――――――――――――――――</w:t>
      </w:r>
    </w:p>
    <w:p>
      <w:pPr>
        <w:spacing w:before="320" w:after="160"/>
      </w:pPr>
      <w:r>
        <w:rPr>
          <w:b/>
          <w:color w:val="0F2347"/>
          <w:sz w:val="32"/>
        </w:rPr>
        <w:t>Deck — what changed</w:t>
      </w:r>
    </w:p>
    <w:tbl>
      <w:tblPr>
        <w:tblW w:type="auto" w:w="0"/>
        <w:tblLayout w:type="fixed"/>
        <w:tblLook w:firstColumn="1" w:firstRow="1" w:lastColumn="0" w:lastRow="0" w:noHBand="0" w:noVBand="1" w:val="04A0"/>
      </w:tblPr>
      <w:tblGrid>
        <w:gridCol w:w="5040"/>
        <w:gridCol w:w="5040"/>
      </w:tblGrid>
      <w:t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c>
          <w:tcPr>
            <w:tcW w:type="dxa" w:w="2880"/>
          </w:tcPr>
          <w:p>
            <w:r/>
            <w:r>
              <w:rPr>
                <w:b/>
                <w:sz w:val="19"/>
              </w:rPr>
              <w:t>Structure</w:t>
            </w:r>
          </w:p>
        </w:tc>
        <w:tc>
          <w:tcPr>
            <w:tcW w:type="dxa" w:w="6768"/>
          </w:tcPr>
          <w:p>
            <w:r/>
            <w:r>
              <w:rPr>
                <w:sz w:val="19"/>
              </w:rPr>
              <w:t>26 active slides plus 7 hidden, 33 total, from 33 active plus 7 hidden. Every active slide carries a start time, an end time and an explicit FACILITATION line.</w:t>
            </w:r>
          </w:p>
        </w:tc>
      </w:tr>
      <w:t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c>
          <w:tcPr>
            <w:tcW w:type="dxa" w:w="2880"/>
          </w:tcPr>
          <w:p>
            <w:r/>
            <w:r>
              <w:rPr>
                <w:b/>
                <w:sz w:val="19"/>
              </w:rPr>
              <w:t>Title slide</w:t>
            </w:r>
          </w:p>
        </w:tc>
        <w:tc>
          <w:tcPr>
            <w:tcW w:type="dxa" w:w="6768"/>
          </w:tcPr>
          <w:p>
            <w:r/>
            <w:r>
              <w:rPr>
                <w:sz w:val="19"/>
              </w:rPr>
              <w:t>Reads FREE FLAGSHIP · 60 MINUTES.</w:t>
            </w:r>
          </w:p>
        </w:tc>
      </w:tr>
      <w:t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c>
          <w:tcPr>
            <w:tcW w:type="dxa" w:w="2880"/>
          </w:tcPr>
          <w:p>
            <w:r/>
            <w:r>
              <w:rPr>
                <w:b/>
                <w:sz w:val="19"/>
              </w:rPr>
              <w:t>Slide 15</w:t>
            </w:r>
          </w:p>
        </w:tc>
        <w:tc>
          <w:tcPr>
            <w:tcW w:type="dxa" w:w="6768"/>
          </w:tcPr>
          <w:p>
            <w:r/>
            <w:r>
              <w:rPr>
                <w:sz w:val="19"/>
              </w:rPr>
              <w:t>The three misreadings, combined, uniform panels.</w:t>
            </w:r>
          </w:p>
        </w:tc>
      </w:tr>
      <w:tr>
        <w:tc>
          <w:tcPr>
            <w:tcW w:type="dxa" w:w="2880"/>
          </w:tcPr>
          <w:p>
            <w:r/>
            <w:r>
              <w:rPr>
                <w:b/>
                <w:sz w:val="19"/>
              </w:rPr>
              <w:t>Slide 16</w:t>
            </w:r>
          </w:p>
        </w:tc>
        <w:tc>
          <w:tcPr>
            <w:tcW w:type="dxa" w:w="6768"/>
          </w:tcPr>
          <w:p>
            <w:r/>
            <w:r>
              <w:rPr>
                <w:sz w:val="19"/>
              </w:rPr>
              <w:t>The protected block. Holds for twelve minutes; the note forbids narration.</w:t>
            </w:r>
          </w:p>
        </w:tc>
      </w:tr>
      <w:tr>
        <w:tc>
          <w:tcPr>
            <w:tcW w:type="dxa" w:w="2880"/>
          </w:tcPr>
          <w:p>
            <w:r/>
            <w:r>
              <w:rPr>
                <w:b/>
                <w:sz w:val="19"/>
              </w:rPr>
              <w:t>Slide 24</w:t>
            </w:r>
          </w:p>
        </w:tc>
        <w:tc>
          <w:tcPr>
            <w:tcW w:type="dxa" w:w="6768"/>
          </w:tcPr>
          <w:p>
            <w:r/>
            <w:r>
              <w:rPr>
                <w:sz w:val="19"/>
              </w:rPr>
              <w:t>Field Kit and Private Read on one slide, still clearly differentiated by the closing line. A real page from the shipped kit, not a mockup.</w:t>
            </w:r>
          </w:p>
        </w:tc>
      </w:tr>
      <w:tr>
        <w:tc>
          <w:tcPr>
            <w:tcW w:type="dxa" w:w="2880"/>
          </w:tcPr>
          <w:p>
            <w:r/>
            <w:r>
              <w:rPr>
                <w:b/>
                <w:sz w:val="19"/>
              </w:rPr>
              <w:t>Slide 25</w:t>
            </w:r>
          </w:p>
        </w:tc>
        <w:tc>
          <w:tcPr>
            <w:tcW w:type="dxa" w:w="6768"/>
          </w:tcPr>
          <w:p>
            <w:r/>
            <w:r>
              <w:rPr>
                <w:sz w:val="19"/>
              </w:rPr>
              <w:t>Close at 47:00–48:00, buffer 48:00–50:00, recording stops at 50:00 with on-screen verification.</w:t>
            </w:r>
          </w:p>
        </w:tc>
      </w:tr>
      <w:tr>
        <w:tc>
          <w:tcPr>
            <w:tcW w:type="dxa" w:w="2880"/>
          </w:tcPr>
          <w:p>
            <w:r/>
            <w:r>
              <w:rPr>
                <w:b/>
                <w:sz w:val="19"/>
              </w:rPr>
              <w:t>Slide 26</w:t>
            </w:r>
          </w:p>
        </w:tc>
        <w:tc>
          <w:tcPr>
            <w:tcW w:type="dxa" w:w="6768"/>
          </w:tcPr>
          <w:p>
            <w:r/>
            <w:r>
              <w:rPr>
                <w:sz w:val="19"/>
              </w:rPr>
              <w:t>Q&amp;A face reads LIVE ONLY · RECORDING OFF · 10 MINUTES.</w:t>
            </w:r>
          </w:p>
        </w:tc>
      </w:tr>
      <w:tr>
        <w:tc>
          <w:tcPr>
            <w:tcW w:type="dxa" w:w="2880"/>
          </w:tcPr>
          <w:p>
            <w:r/>
            <w:r>
              <w:rPr>
                <w:b/>
                <w:sz w:val="19"/>
              </w:rPr>
              <w:t>Hidden slide 33</w:t>
            </w:r>
          </w:p>
        </w:tc>
        <w:tc>
          <w:tcPr>
            <w:tcW w:type="dxa" w:w="6768"/>
          </w:tcPr>
          <w:p>
            <w:r/>
            <w:r>
              <w:rPr>
                <w:sz w:val="19"/>
              </w:rPr>
              <w:t>Dated holding slide updated to 6:00–7:00 PM CT, shown before recording.</w:t>
            </w:r>
          </w:p>
        </w:tc>
      </w:tr>
      <w:t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bl>
    <w:p>
      <w:pPr>
        <w:spacing w:after="80"/>
      </w:pPr>
    </w:p>
    <w:p>
      <w:pPr>
        <w:spacing w:before="120" w:after="120"/>
      </w:pPr>
      <w:r>
        <w:rPr>
          <w:color w:val="555555"/>
          <w:sz w:val="16"/>
        </w:rPr>
        <w:t>――――――――――――――――――――――――――――――――――――――――――――――――――――――――――――――――――――――――――――――――――――――――――</w:t>
      </w:r>
    </w:p>
    <w:p>
      <w:pPr>
        <w:spacing w:before="320" w:after="160"/>
      </w:pPr>
      <w:r>
        <w:rPr>
          <w:b/>
          <w:color w:val="0F2347"/>
          <w:sz w:val="32"/>
        </w:rPr>
        <w:t>Workbook — what changed</w:t>
      </w:r>
    </w:p>
    <w:tbl>
      <w:tblPr>
        <w:tblW w:type="auto" w:w="0"/>
        <w:tblLayout w:type="fixed"/>
        <w:tblLook w:firstColumn="1" w:firstRow="1" w:lastColumn="0" w:lastRow="0" w:noHBand="0" w:noVBand="1" w:val="04A0"/>
      </w:tblPr>
      <w:tblGrid>
        <w:gridCol w:w="5040"/>
        <w:gridCol w:w="5040"/>
      </w:tblGrid>
      <w:t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c>
          <w:tcPr>
            <w:tcW w:type="dxa" w:w="2880"/>
          </w:tcPr>
          <w:p>
            <w:r/>
            <w:r>
              <w:rPr>
                <w:b/>
                <w:sz w:val="19"/>
              </w:rPr>
              <w:t>Live pacing cues</w:t>
            </w:r>
          </w:p>
        </w:tc>
        <w:tc>
          <w:tcPr>
            <w:tcW w:type="dxa" w:w="6768"/>
          </w:tcPr>
          <w:p>
            <w:r/>
            <w:r>
              <w:rPr>
                <w:sz w:val="19"/>
              </w:rPr>
              <w:t>Every page states the minutes it belongs to, aligned to the deck.</w:t>
            </w:r>
          </w:p>
        </w:tc>
      </w:tr>
      <w:t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pPr>
      <w:r>
        <w:rPr>
          <w:color w:val="555555"/>
          <w:sz w:val="16"/>
        </w:rPr>
        <w:t>――――――――――――――――――――――――――――――――――――――――――――――――――――――――――――――――――――――――――――――――――――――――――</w:t>
      </w:r>
    </w:p>
    <w:p>
      <w:pPr>
        <w:spacing w:before="320" w:after="160"/>
      </w:pPr>
      <w:r>
        <w:rPr>
          <w:b/>
          <w:color w:val="0F2347"/>
          <w:sz w:val="32"/>
        </w:rPr>
        <w:t>SOP — what changed</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only v2.0 artifacts and the read-only Architecture v1.1.</w:t>
      </w:r>
    </w:p>
    <w:p>
      <w:pPr>
        <w:spacing w:before="120" w:after="120"/>
      </w:pPr>
      <w:r>
        <w:rPr>
          <w:color w:val="555555"/>
          <w:sz w:val="16"/>
        </w:rPr>
        <w:t>――――――――――――――――――――――――――――――――――――――――――――――――――――――――――――――――――――――――――――――――――――――――――</w:t>
      </w: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c>
          <w:tcPr>
            <w:tcW w:type="dxa" w:w="2880"/>
            <w:shd w:val="clear" w:fill="0F2347"/>
          </w:tcPr>
          <w:p>
            <w:r/>
            <w:r>
              <w:rPr>
                <w:b/>
                <w:color w:val="FFFFFF"/>
                <w:sz w:val="19"/>
              </w:rPr>
            </w:r>
          </w:p>
        </w:tc>
        <w:tc>
          <w:tcPr>
            <w:tcW w:type="dxa" w:w="6768"/>
            <w:shd w:val="clear" w:fill="0F2347"/>
          </w:tcPr>
          <w:p>
            <w:r/>
            <w:r>
              <w:rPr>
                <w:b/>
                <w:color w:val="FFFFFF"/>
                <w:sz w:val="19"/>
              </w:rPr>
            </w:r>
          </w:p>
        </w:tc>
      </w:tr>
      <w:t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pPr>
      <w:r>
        <w:rPr>
          <w:color w:val="555555"/>
          <w:sz w:val="16"/>
        </w:rPr>
        <w:t>――――――――――――――――――――――――――――――――――――――――――――――――――――――――――――――――――――――――――――――――――――――――――</w:t>
      </w:r>
    </w:p>
    <w:p>
      <w:pPr>
        <w:spacing w:before="320" w:after="160"/>
      </w:pPr>
      <w:r>
        <w:rPr>
          <w:b/>
          <w:color w:val="0F2347"/>
          <w:sz w:val="32"/>
        </w:rPr>
        <w:t>Verification — 73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c>
          <w:tcPr>
            <w:tcW w:type="dxa" w:w="461"/>
          </w:tcPr>
          <w:p>
            <w:r/>
            <w:r>
              <w:rPr>
                <w:sz w:val="18"/>
              </w:rPr>
              <w:t>17</w:t>
            </w:r>
          </w:p>
        </w:tc>
        <w:tc>
          <w:tcPr>
            <w:tcW w:type="dxa" w:w="3139"/>
          </w:tcPr>
          <w:p>
            <w:r/>
            <w:r>
              <w:rPr>
                <w:sz w:val="18"/>
              </w:rPr>
              <w:t>Every artifact says 60 minutes total</w:t>
            </w:r>
          </w:p>
        </w:tc>
        <w:tc>
          <w:tcPr>
            <w:tcW w:type="dxa" w:w="893"/>
            <w:shd w:val="clear" w:fill="D9EAD3"/>
          </w:tcPr>
          <w:p>
            <w:r/>
            <w:r>
              <w:rPr>
                <w:b/>
                <w:color w:val="1A7A1A"/>
                <w:sz w:val="18"/>
              </w:rPr>
              <w:t>PASS</w:t>
            </w:r>
          </w:p>
        </w:tc>
        <w:tc>
          <w:tcPr>
            <w:tcW w:type="dxa" w:w="5587"/>
          </w:tcPr>
          <w:p>
            <w:r/>
            <w:r>
              <w:rPr>
                <w:sz w:val="17"/>
              </w:rPr>
              <w:t>Title slide reads FREE FLAGSHIP · 60 MINUTES; the SOP states 60 minutes, hard stop.</w:t>
            </w:r>
          </w:p>
        </w:tc>
      </w:tr>
      <w:tr>
        <w:tc>
          <w:tcPr>
            <w:tcW w:type="dxa" w:w="461"/>
          </w:tcPr>
          <w:p>
            <w:r/>
            <w:r>
              <w:rPr>
                <w:sz w:val="18"/>
              </w:rPr>
              <w:t>18</w:t>
            </w:r>
          </w:p>
        </w:tc>
        <w:tc>
          <w:tcPr>
            <w:tcW w:type="dxa" w:w="3139"/>
          </w:tcPr>
          <w:p>
            <w:r/>
            <w:r>
              <w:rPr>
                <w:sz w:val="18"/>
              </w:rPr>
              <w:t>Every artifact uses 50 core + 10 Q&amp;A</w:t>
            </w:r>
          </w:p>
        </w:tc>
        <w:tc>
          <w:tcPr>
            <w:tcW w:type="dxa" w:w="893"/>
            <w:shd w:val="clear" w:fill="D9EAD3"/>
          </w:tcPr>
          <w:p>
            <w:r/>
            <w:r>
              <w:rPr>
                <w:b/>
                <w:color w:val="1A7A1A"/>
                <w:sz w:val="18"/>
              </w:rPr>
              <w:t>PASS</w:t>
            </w:r>
          </w:p>
        </w:tc>
        <w:tc>
          <w:tcPr>
            <w:tcW w:type="dxa" w:w="5587"/>
          </w:tcPr>
          <w:p>
            <w:r/>
            <w:r>
              <w:rPr>
                <w:sz w:val="17"/>
              </w:rPr>
              <w:t>Deck note, SOP identity table and SOP recording policy all agree.</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Moved to hidden slide 29 with a note stating it is NOT part of the fifty-minute core.</w:t>
            </w:r>
          </w:p>
        </w:tc>
      </w:tr>
      <w:t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28</w:t>
            </w:r>
          </w:p>
        </w:tc>
        <w:tc>
          <w:tcPr>
            <w:tcW w:type="dxa" w:w="3139"/>
          </w:tcPr>
          <w:p>
            <w:r/>
            <w:r>
              <w:rPr>
                <w:sz w:val="18"/>
              </w:rPr>
              <w:t>Title slide says FREE FLAGSHIP · 60 MINUTES</w:t>
            </w:r>
          </w:p>
        </w:tc>
        <w:tc>
          <w:tcPr>
            <w:tcW w:type="dxa" w:w="893"/>
            <w:shd w:val="clear" w:fill="D9EAD3"/>
          </w:tcPr>
          <w:p>
            <w:r/>
            <w:r>
              <w:rPr>
                <w:b/>
                <w:color w:val="1A7A1A"/>
                <w:sz w:val="18"/>
              </w:rPr>
              <w:t>PASS</w:t>
            </w:r>
          </w:p>
        </w:tc>
        <w:tc>
          <w:tcPr>
            <w:tcW w:type="dxa" w:w="5587"/>
          </w:tcPr>
          <w:p>
            <w:r/>
            <w:r>
              <w:rPr>
                <w:sz w:val="17"/>
              </w:rPr>
              <w:t>On the title slide face.</w:t>
            </w:r>
          </w:p>
        </w:tc>
      </w:tr>
      <w:t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c>
          <w:tcPr>
            <w:tcW w:type="dxa" w:w="461"/>
          </w:tcPr>
          <w:p>
            <w:r/>
            <w:r>
              <w:rPr>
                <w:sz w:val="18"/>
              </w:rPr>
              <w:t>30</w:t>
            </w:r>
          </w:p>
        </w:tc>
        <w:tc>
          <w:tcPr>
            <w:tcW w:type="dxa" w:w="3139"/>
          </w:tcPr>
          <w:p>
            <w:r/>
            <w:r>
              <w:rPr>
                <w:sz w:val="18"/>
              </w:rPr>
              <w:t>Recording stops before questions are invited</w:t>
            </w:r>
          </w:p>
        </w:tc>
        <w:tc>
          <w:tcPr>
            <w:tcW w:type="dxa" w:w="893"/>
            <w:shd w:val="clear" w:fill="D9EAD3"/>
          </w:tcPr>
          <w:p>
            <w:r/>
            <w:r>
              <w:rPr>
                <w:b/>
                <w:color w:val="1A7A1A"/>
                <w:sz w:val="18"/>
              </w:rPr>
              <w:t>PASS</w:t>
            </w:r>
          </w:p>
        </w:tc>
        <w:tc>
          <w:tcPr>
            <w:tcW w:type="dxa" w:w="5587"/>
          </w:tcPr>
          <w:p>
            <w:r/>
            <w:r>
              <w:rPr>
                <w:sz w:val="17"/>
              </w:rPr>
              <w:t>Slide 25's note carries the stop instruction and on-screen verification; slide 26's note opens RECORDING OFF.</w:t>
            </w:r>
          </w:p>
        </w:tc>
      </w:tr>
      <w:t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16 survives only on the hidden holding slide.</w:t>
            </w:r>
          </w:p>
        </w:tc>
      </w:tr>
      <w:t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c>
          <w:tcPr>
            <w:tcW w:type="dxa" w:w="461"/>
          </w:tcPr>
          <w:p>
            <w:r/>
            <w:r>
              <w:rPr>
                <w:sz w:val="18"/>
              </w:rPr>
              <w:t>34</w:t>
            </w:r>
          </w:p>
        </w:tc>
        <w:tc>
          <w:tcPr>
            <w:tcW w:type="dxa" w:w="3139"/>
          </w:tcPr>
          <w:p>
            <w:r/>
            <w:r>
              <w:rPr>
                <w:sz w:val="18"/>
              </w:rPr>
              <w:t>No pricing on any slide face</w:t>
            </w:r>
          </w:p>
        </w:tc>
        <w:tc>
          <w:tcPr>
            <w:tcW w:type="dxa" w:w="893"/>
            <w:shd w:val="clear" w:fill="D9EAD3"/>
          </w:tcPr>
          <w:p>
            <w:r/>
            <w:r>
              <w:rPr>
                <w:b/>
                <w:color w:val="1A7A1A"/>
                <w:sz w:val="18"/>
              </w:rPr>
              <w:t>PASS</w:t>
            </w:r>
          </w:p>
        </w:tc>
        <w:tc>
          <w:tcPr>
            <w:tcW w:type="dxa" w:w="5587"/>
          </w:tcPr>
          <w:p>
            <w:r/>
            <w:r>
              <w:rPr>
                <w:sz w:val="17"/>
              </w:rPr>
              <w:t>Not one currency symbol on any of the 33 faces. Both figures appear in speaker notes only.</w:t>
            </w:r>
          </w:p>
        </w:tc>
      </w:tr>
      <w:tr>
        <w:tc>
          <w:tcPr>
            <w:tcW w:type="dxa" w:w="461"/>
          </w:tcPr>
          <w:p>
            <w:r/>
            <w:r>
              <w:rPr>
                <w:sz w:val="18"/>
              </w:rPr>
              <w:t>35</w:t>
            </w:r>
          </w:p>
        </w:tc>
        <w:tc>
          <w:tcPr>
            <w:tcW w:type="dxa" w:w="3139"/>
          </w:tcPr>
          <w:p>
            <w:r/>
            <w:r>
              <w:rPr>
                <w:sz w:val="18"/>
              </w:rPr>
              <w:t>Internal pricing source of truth is in the notes</w:t>
            </w:r>
          </w:p>
        </w:tc>
        <w:tc>
          <w:tcPr>
            <w:tcW w:type="dxa" w:w="893"/>
            <w:shd w:val="clear" w:fill="D9EAD3"/>
          </w:tcPr>
          <w:p>
            <w:r/>
            <w:r>
              <w:rPr>
                <w:b/>
                <w:color w:val="1A7A1A"/>
                <w:sz w:val="18"/>
              </w:rPr>
              <w:t>PASS</w:t>
            </w:r>
          </w:p>
        </w:tc>
        <w:tc>
          <w:tcPr>
            <w:tcW w:type="dxa" w:w="5587"/>
          </w:tcPr>
          <w:p>
            <w:r/>
            <w:r>
              <w:rPr>
                <w:sz w:val="17"/>
              </w:rPr>
              <w:t>Slide 24's note carries both figures plus the evergreen recording rule.</w:t>
            </w:r>
          </w:p>
        </w:tc>
      </w:tr>
      <w:t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c>
          <w:tcPr>
            <w:tcW w:type="dxa" w:w="461"/>
          </w:tcPr>
          <w:p>
            <w:r/>
            <w:r>
              <w:rPr>
                <w:sz w:val="18"/>
              </w:rPr>
              <w:t>46</w:t>
            </w:r>
          </w:p>
        </w:tc>
        <w:tc>
          <w:tcPr>
            <w:tcW w:type="dxa" w:w="3139"/>
          </w:tcPr>
          <w:p>
            <w:r/>
            <w:r>
              <w:rPr>
                <w:sz w:val="18"/>
              </w:rPr>
              <w:t>Field Kit and Private Read clearly differentiated</w:t>
            </w:r>
          </w:p>
        </w:tc>
        <w:tc>
          <w:tcPr>
            <w:tcW w:type="dxa" w:w="893"/>
            <w:shd w:val="clear" w:fill="D9EAD3"/>
          </w:tcPr>
          <w:p>
            <w:r/>
            <w:r>
              <w:rPr>
                <w:b/>
                <w:color w:val="1A7A1A"/>
                <w:sz w:val="18"/>
              </w:rPr>
              <w:t>PASS</w:t>
            </w:r>
          </w:p>
        </w:tc>
        <w:tc>
          <w:tcPr>
            <w:tcW w:type="dxa" w:w="5587"/>
          </w:tcPr>
          <w:p>
            <w:r/>
            <w:r>
              <w:rPr>
                <w:sz w:val="17"/>
              </w:rPr>
              <w:t>Slide 24's closing line states the distinction directly.</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11871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
              <w:rPr>
                <w:sz w:val="17"/>
              </w:rPr>
              <w:t>Free session, both prices exact, and the former paid group workshop marked retired and explicitly not the current public next step.</w:t>
            </w:r>
          </w:p>
        </w:tc>
      </w:tr>
      <w:t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c>
          <w:tcPr>
            <w:tcW w:type="dxa" w:w="461"/>
          </w:tcPr>
          <w:p>
            <w:r/>
            <w:r>
              <w:rPr>
                <w:sz w:val="18"/>
              </w:rPr>
              <w:t>63</w:t>
            </w:r>
          </w:p>
        </w:tc>
        <w:tc>
          <w:tcPr>
            <w:tcW w:type="dxa" w:w="3139"/>
          </w:tcPr>
          <w:p>
            <w:r/>
            <w:r>
              <w:rPr>
                <w:sz w:val="18"/>
              </w:rPr>
              <w:t>Rehearsal standard requires both rehearsals</w:t>
            </w:r>
          </w:p>
        </w:tc>
        <w:tc>
          <w:tcPr>
            <w:tcW w:type="dxa" w:w="893"/>
            <w:shd w:val="clear" w:fill="D9EAD3"/>
          </w:tcPr>
          <w:p>
            <w:r/>
            <w:r>
              <w:rPr>
                <w:b/>
                <w:color w:val="1A7A1A"/>
                <w:sz w:val="18"/>
              </w:rPr>
              <w:t>PASS</w:t>
            </w:r>
          </w:p>
        </w:tc>
        <w:tc>
          <w:tcPr>
            <w:tcW w:type="dxa" w:w="5587"/>
          </w:tcPr>
          <w:p>
            <w:r/>
            <w:r>
              <w:rPr>
                <w:sz w:val="17"/>
              </w:rPr>
              <w:t>Both are specified with pass conditions.</w:t>
            </w:r>
          </w:p>
        </w:tc>
      </w:tr>
      <w:tr>
        <w:tc>
          <w:tcPr>
            <w:tcW w:type="dxa" w:w="461"/>
          </w:tcPr>
          <w:p>
            <w:r/>
            <w:r>
              <w:rPr>
                <w:sz w:val="18"/>
              </w:rPr>
              <w:t>64</w:t>
            </w:r>
          </w:p>
        </w:tc>
        <w:tc>
          <w:tcPr>
            <w:tcW w:type="dxa" w:w="3139"/>
          </w:tcPr>
          <w:p>
            <w:r/>
            <w:r>
              <w:rPr>
                <w:sz w:val="18"/>
              </w:rPr>
              <w:t>Not promoted to FINAL</w:t>
            </w:r>
          </w:p>
        </w:tc>
        <w:tc>
          <w:tcPr>
            <w:tcW w:type="dxa" w:w="893"/>
            <w:shd w:val="clear" w:fill="D9EAD3"/>
          </w:tcPr>
          <w:p>
            <w:r/>
            <w:r>
              <w:rPr>
                <w:b/>
                <w:color w:val="1A7A1A"/>
                <w:sz w:val="18"/>
              </w:rPr>
              <w:t>PASS</w:t>
            </w:r>
          </w:p>
        </w:tc>
        <w:tc>
          <w:tcPr>
            <w:tcW w:type="dxa" w:w="5587"/>
          </w:tcPr>
          <w:p>
            <w:r/>
            <w:r>
              <w:rPr>
                <w:sz w:val="17"/>
              </w:rPr>
              <w:t>The SOP states it is not FINAL until Rehearsal 1 passes.</w:t>
            </w:r>
          </w:p>
        </w:tc>
      </w:tr>
      <w:t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c>
          <w:tcPr>
            <w:tcW w:type="dxa" w:w="461"/>
          </w:tcPr>
          <w:p>
            <w:r/>
            <w:r>
              <w:rPr>
                <w:sz w:val="18"/>
              </w:rPr>
              <w:t>67</w:t>
            </w:r>
          </w:p>
        </w:tc>
        <w:tc>
          <w:tcPr>
            <w:tcW w:type="dxa" w:w="3139"/>
          </w:tcPr>
          <w:p>
            <w:r/>
            <w:r>
              <w:rPr>
                <w:sz w:val="18"/>
              </w:rPr>
              <w:t>September 2 event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September 2 material.</w:t>
            </w:r>
          </w:p>
        </w:tc>
      </w:tr>
      <w:t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only the v2.0 artifacts and the read-only Architecture v1.1.</w:t>
            </w:r>
          </w:p>
        </w:tc>
      </w:tr>
      <w:t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spacing w:after="160"/>
      </w:pPr>
      <w:r>
        <w:rPr>
          <w:b/>
          <w:i w:val="0"/>
          <w:color w:val="0F2347"/>
          <w:sz w:val="21"/>
        </w:rPr>
        <w:t>73 of 73 PASS.</w:t>
      </w:r>
    </w:p>
    <w:p>
      <w:pPr>
        <w:spacing w:before="120" w:after="120"/>
      </w:pPr>
      <w:r>
        <w:rPr>
          <w:color w:val="555555"/>
          <w:sz w:val="16"/>
        </w:rPr>
        <w:t>――――――――――――――――――――――――――――――――――――――――――――――――――――――――――――――――――――――――――――――――――――――――――</w:t>
      </w:r>
    </w:p>
    <w:p>
      <w:pPr>
        <w:spacing w:before="320" w:after="160"/>
      </w:pPr>
      <w:r>
        <w:rPr>
          <w:b/>
          <w:color w:val="0F2347"/>
          <w:sz w:val="32"/>
        </w:rPr>
        <w:t>Visual QA</w:t>
      </w:r>
    </w:p>
    <w:p>
      <w:pPr>
        <w:spacing w:after="160"/>
      </w:pPr>
      <w:r>
        <w:rPr>
          <w:b/>
          <w:i w:val="0"/>
          <w:color w:val="000000"/>
          <w:sz w:val="20"/>
        </w:rPr>
        <w:t>WORKBOOK AND SOP — REAL RENDERS, PERFORMED.</w:t>
      </w:r>
    </w:p>
    <w:p>
      <w:pPr>
        <w:spacing w:after="160"/>
      </w:pPr>
      <w:r>
        <w:rPr>
          <w:b w:val="0"/>
          <w:i w:val="0"/>
          <w:color w:val="000000"/>
          <w:sz w:val="19"/>
        </w:rPr>
        <w:t>Both are PDFs and were rasterised and inspected page by page. The workbook build refuses to emit a page whose content crosses the footer rule; that assertion fired twice during this pass and both overruns were fixed. No clipping, no overlap, no overflow, no unreadably small text.</w:t>
      </w:r>
    </w:p>
    <w:p>
      <w:pPr>
        <w:spacing w:after="160"/>
      </w:pPr>
      <w:r>
        <w:rPr>
          <w:b/>
          <w:i w:val="0"/>
          <w:color w:val="B00000"/>
          <w:sz w:val="20"/>
        </w:rPr>
        <w:t>DECK — NO POWERPOINT RENDER. NOT PERFORMED.</w:t>
      </w:r>
    </w:p>
    <w:p>
      <w:pPr>
        <w:spacing w:after="160"/>
      </w:pPr>
      <w:r>
        <w:rPr>
          <w:b w:val="0"/>
          <w:i w:val="0"/>
          <w:color w:val="000000"/>
          <w:sz w:val="19"/>
        </w:rPr>
        <w:t>LibreOffice remains non-functional in this environment, so no application render was possible. Instead the deck was rendered to a vector PDF from its real shape geometry using the same typefaces it embeds — Cormorant Garamond, DM Sans and Montserrat — so line breaking and overflow follow the true metrics rather than a substitute font. That preview is the delivered PREVIEW_Presentation_60MIN_v2.0.pdf and every one of its 33 pages was inspected. Three real layout defects were found and fixed: the combined misreadings slide overflowed its third panel and alternated fills so the middle row vanished into the background; the two-routes slide was an unbalanced three-column layout whose caption spilled past the panels. It is a faithful geometry and metrics preview, NOT a PowerPoint render, and PowerPoint's own autofit has not been observed.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pPr>
      <w:r>
        <w:rPr>
          <w:color w:val="555555"/>
          <w:sz w:val="16"/>
        </w:rPr>
        <w:t>――――――――――――――――――――――――――――――――――――――――――――――――――――――――――――――――――――――――――――――――――――――――――</w:t>
      </w: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v2.0 was therefore built from the generator rather than from that file, and its seven hidden slides are verified hidden. If the deck is round-tripped through Google Slides again, re-hide slides 27 to 33 before delivering.</w:t>
      </w:r>
    </w:p>
    <w:p>
      <w:pPr>
        <w:spacing w:before="120" w:after="120"/>
      </w:pPr>
      <w:r>
        <w:rPr>
          <w:color w:val="555555"/>
          <w:sz w:val="16"/>
        </w:rPr>
        <w:t>――――――――――――――――――――――――――――――――――――――――――――――――――――――――――――――――――――――――――――――――――――――――――</w:t>
      </w:r>
    </w:p>
    <w:p>
      <w:pPr>
        <w:spacing w:before="320" w:after="160"/>
      </w:pPr>
      <w:r>
        <w:rPr>
          <w:b/>
          <w:color w:val="0F2347"/>
          <w:sz w:val="32"/>
        </w:rPr>
        <w:t>Not FINAL</w:t>
      </w:r>
    </w:p>
    <w:p>
      <w:pPr>
        <w:spacing w:after="160"/>
      </w:pPr>
      <w:r>
        <w:rPr>
          <w:b/>
          <w:i w:val="0"/>
          <w:color w:val="B00000"/>
          <w:sz w:val="20"/>
        </w:rPr>
        <w:t>The family stays CANDIDATE. FINAL requires, in order:</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A workbook behaviour test in Acrobat or Preview: a bare question mark refused, 3? accepted, totals both calculating and typeable.</w:t>
      </w:r>
    </w:p>
    <w:p>
      <w:pPr>
        <w:spacing w:before="120" w:after="120"/>
      </w:pPr>
      <w:r>
        <w:rPr>
          <w:color w:val="555555"/>
          <w:sz w:val="16"/>
        </w:rPr>
        <w:t>――――――――――――――――――――――――――――――――――――――――――――――――――――――――――――――――――――――――――――――――――――――――――</w:t>
      </w:r>
    </w:p>
    <w:p>
      <w:pPr>
        <w:spacing w:after="0"/>
      </w:pPr>
      <w:r>
        <w:rPr>
          <w:b w:val="0"/>
          <w:i/>
          <w:color w:val="555555"/>
          <w:sz w:val="16"/>
        </w:rPr>
        <w:t>60-MINUTE REBUILD — CHANGE LOG AND QA REPORT v2.0  ·  INTERNAL ONLY  ·  Revised Saturday, August 15, 2026 at 4:05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