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w:t>
            </w:r>
          </w:p>
          <w:p>
            <w:r>
              <w:rPr>
                <w:i/>
                <w:color w:val="E3D9C4"/>
                <w:sz w:val="22"/>
              </w:rPr>
              <w:t>Decide Whether to Stay or Leave Your Job  ·  v1.3 CANDIDATE  ·  Revised: Friday, August 14, 2026, 12:53 PM Central Time</w:t>
            </w:r>
          </w:p>
        </w:tc>
      </w:tr>
    </w:tbl>
    <w:p>
      <w:pPr>
        <w:spacing w:after="80"/>
      </w:pPr>
    </w:p>
    <w:p>
      <w:pPr>
        <w:spacing w:after="160"/>
      </w:pPr>
      <w:r>
        <w:rPr>
          <w:b/>
          <w:color w:val="B00000"/>
          <w:sz w:val="20"/>
        </w:rPr>
        <w:t xml:space="preserve">CANDIDATE —  </w:t>
      </w:r>
      <w:r>
        <w:rPr>
          <w:color w:val="000000"/>
          <w:sz w:val="20"/>
        </w:rPr>
        <w:t>this SOP governs a product that has not yet been delivered. It is not FINAL until the deck has been visually reviewed and timed against a full rehearsal.</w:t>
      </w:r>
    </w:p>
    <w:p>
      <w:pPr>
        <w:spacing w:before="120" w:after="120"/>
      </w:pPr>
      <w:r>
        <w:rPr>
          <w:color w:val="555555"/>
          <w:sz w:val="16"/>
        </w:rPr>
        <w:t>――――――――――――――――――――――――――――――――――――――――――――――――――――――――――――――――――――――――――――――――――――――――――</w:t>
      </w:r>
    </w:p>
    <w:p>
      <w:pPr>
        <w:spacing w:before="320" w:after="160"/>
      </w:pPr>
      <w:r>
        <w:rPr>
          <w:b/>
          <w:color w:val="0F2347"/>
          <w:sz w:val="32"/>
        </w:rPr>
        <w:t>1. Product definition and role</w:t>
      </w:r>
    </w:p>
    <w:p>
      <w:pPr>
        <w:spacing w:after="160"/>
      </w:pPr>
      <w:r>
        <w:rPr>
          <w:b w:val="0"/>
          <w:i w:val="0"/>
          <w:color w:val="000000"/>
          <w:sz w:val="21"/>
        </w:rPr>
        <w:t>Decide Whether to Stay or Leave Your Job is the FREE FLAGSHIP of the individual side of Capability Formation. It is a 90-minute live assessment experience in which participants read their own position twice — once uncalibrated, once against evidence — using the Capability Position Read.</w:t>
      </w:r>
    </w:p>
    <w:p>
      <w:pPr>
        <w:spacing w:after="160"/>
      </w:pPr>
      <w:r>
        <w:rPr>
          <w:b w:val="0"/>
          <w:i w:val="0"/>
          <w:color w:val="000000"/>
          <w:sz w:val="21"/>
        </w:rPr>
        <w:t>Its commercial role is demand generation, not conversion pressure. It exists so that people EXPERIENCE the method rather than hear it described. The session is complete on its own; nobody needs to buy anything for it to have delivered its promise.</w:t>
      </w:r>
    </w:p>
    <w:p>
      <w:pPr>
        <w:spacing w:after="160"/>
      </w:pPr>
      <w:r>
        <w:rPr>
          <w:b/>
          <w:i w:val="0"/>
          <w:color w:val="000000"/>
          <w:sz w:val="21"/>
        </w:rPr>
        <w:t>It is a branch from, not a replacement for, the existing two-hour paid workshop. That deck is preserved unchanged as the Capability Position Read — Intensive / Small-Room Edition.</w:t>
      </w:r>
    </w:p>
    <w:p>
      <w:pPr>
        <w:spacing w:before="120" w:after="120"/>
      </w:pPr>
      <w:r>
        <w:rPr>
          <w:color w:val="555555"/>
          <w:sz w:val="16"/>
        </w:rPr>
        <w:t>――――――――――――――――――――――――――――――――――――――――――――――――――――――――――――――――――――――――――――――――――――――――――</w:t>
      </w:r>
    </w:p>
    <w:p>
      <w:pPr>
        <w:spacing w:before="320" w:after="160"/>
      </w:pPr>
      <w:r>
        <w:rPr>
          <w:b/>
          <w:color w:val="0F2347"/>
          <w:sz w:val="32"/>
        </w:rPr>
        <w:t>2. Public promise and boundaries</w:t>
      </w:r>
    </w:p>
    <w:p>
      <w:pPr>
        <w:pStyle w:val="ListBullet"/>
        <w:spacing w:after="60"/>
      </w:pPr>
      <w:r>
        <w:rPr>
          <w:color w:val="000000"/>
          <w:sz w:val="19"/>
        </w:rPr>
        <w:t>Participants complete two full readings of all 12 statements — an initial read and an evidence-backed read — and leave with a Next-Move Note.</w:t>
      </w:r>
    </w:p>
    <w:p>
      <w:pPr>
        <w:pStyle w:val="ListBullet"/>
        <w:spacing w:after="60"/>
      </w:pPr>
      <w:r>
        <w:rPr>
          <w:color w:val="000000"/>
          <w:sz w:val="19"/>
        </w:rPr>
        <w:t>The session does not tell anyone to stay or leave. That boundary is stated on the record, early, and held in Q&amp;A.</w:t>
      </w:r>
    </w:p>
    <w:p>
      <w:pPr>
        <w:pStyle w:val="ListBullet"/>
        <w:spacing w:after="60"/>
      </w:pPr>
      <w:r>
        <w:rPr>
          <w:color w:val="000000"/>
          <w:sz w:val="19"/>
        </w:rPr>
        <w:t>It is not financial, legal, medical, immigration, contractual or tax advice.</w:t>
      </w:r>
    </w:p>
    <w:p>
      <w:pPr>
        <w:pStyle w:val="ListBullet"/>
        <w:spacing w:after="60"/>
      </w:pPr>
      <w:r>
        <w:rPr>
          <w:color w:val="000000"/>
          <w:sz w:val="19"/>
        </w:rPr>
        <w:t>No participant is asked to share a score, a state, or an employer name.</w:t>
      </w:r>
    </w:p>
    <w:p>
      <w:pPr>
        <w:pStyle w:val="ListBullet"/>
        <w:spacing w:after="60"/>
      </w:pPr>
      <w:r>
        <w:rPr>
          <w:color w:val="000000"/>
          <w:sz w:val="19"/>
        </w:rPr>
        <w:t>No Complete Session Record, no 30-Day Evidence Review and no Field Kit are included. Those belong to other products.</w:t>
      </w:r>
    </w:p>
    <w:p>
      <w:pPr>
        <w:spacing w:before="120" w:after="120"/>
      </w:pPr>
      <w:r>
        <w:rPr>
          <w:color w:val="555555"/>
          <w:sz w:val="16"/>
        </w:rPr>
        <w:t>――――――――――――――――――――――――――――――――――――――――――――――――――――――――――――――――――――――――――――――――――――――――――</w:t>
      </w:r>
    </w:p>
    <w:p>
      <w:pPr>
        <w:spacing w:before="320" w:after="160"/>
      </w:pPr>
      <w:r>
        <w:rPr>
          <w:b/>
          <w:color w:val="0F2347"/>
          <w:sz w:val="32"/>
        </w:rPr>
        <w:t>3. Definitive September 16 schedule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Field</w:t>
            </w:r>
          </w:p>
        </w:tc>
        <w:tc>
          <w:tcPr>
            <w:tcW w:type="dxa" w:w="6624"/>
            <w:shd w:val="clear" w:fill="0F2347"/>
          </w:tcPr>
          <w:p>
            <w:r/>
            <w:r>
              <w:rPr>
                <w:b/>
                <w:color w:val="FFFFFF"/>
                <w:sz w:val="19"/>
              </w:rPr>
              <w:t>Value</w:t>
            </w:r>
          </w:p>
        </w:tc>
      </w:tr>
      <w:tr>
        <w:tc>
          <w:tcPr>
            <w:tcW w:type="dxa" w:w="3024"/>
          </w:tcPr>
          <w:p>
            <w:r/>
            <w:r>
              <w:rPr>
                <w:b/>
                <w:sz w:val="19"/>
              </w:rPr>
              <w:t>Title</w:t>
            </w:r>
          </w:p>
        </w:tc>
        <w:tc>
          <w:tcPr>
            <w:tcW w:type="dxa" w:w="6624"/>
          </w:tcPr>
          <w:p>
            <w:r/>
            <w:r>
              <w:rPr>
                <w:sz w:val="19"/>
              </w:rPr>
              <w:t>Decide Whether to Stay or Leave Your Job</w:t>
            </w:r>
          </w:p>
        </w:tc>
      </w:tr>
      <w:tr>
        <w:tc>
          <w:tcPr>
            <w:tcW w:type="dxa" w:w="3024"/>
          </w:tcPr>
          <w:p>
            <w:r/>
            <w:r>
              <w:rPr>
                <w:b/>
                <w:sz w:val="19"/>
              </w:rPr>
              <w:t>Subtitle</w:t>
            </w:r>
          </w:p>
        </w:tc>
        <w:tc>
          <w:tcPr>
            <w:tcW w:type="dxa" w:w="6624"/>
          </w:tcPr>
          <w:p>
            <w:r/>
            <w:r>
              <w:rPr>
                <w:sz w:val="19"/>
              </w:rPr>
              <w:t>A Live Career Growth Assessment</w:t>
            </w:r>
          </w:p>
        </w:tc>
      </w:tr>
      <w:tr>
        <w:tc>
          <w:tcPr>
            <w:tcW w:type="dxa" w:w="3024"/>
          </w:tcPr>
          <w:p>
            <w:r/>
            <w:r>
              <w:rPr>
                <w:b/>
                <w:sz w:val="19"/>
              </w:rPr>
              <w:t>Method</w:t>
            </w:r>
          </w:p>
        </w:tc>
        <w:tc>
          <w:tcPr>
            <w:tcW w:type="dxa" w:w="6624"/>
          </w:tcPr>
          <w:p>
            <w:r/>
            <w:r>
              <w:rPr>
                <w:sz w:val="19"/>
              </w:rPr>
              <w:t>The Capability Position Read</w:t>
            </w:r>
          </w:p>
        </w:tc>
      </w:tr>
      <w:tr>
        <w:tc>
          <w:tcPr>
            <w:tcW w:type="dxa" w:w="3024"/>
          </w:tcPr>
          <w:p>
            <w:r/>
            <w:r>
              <w:rPr>
                <w:b/>
                <w:sz w:val="19"/>
              </w:rPr>
              <w:t>Brand</w:t>
            </w:r>
          </w:p>
        </w:tc>
        <w:tc>
          <w:tcPr>
            <w:tcW w:type="dxa" w:w="6624"/>
          </w:tcPr>
          <w:p>
            <w:r/>
            <w:r>
              <w:rPr>
                <w:sz w:val="19"/>
              </w:rPr>
              <w:t>A Capability Formation Experience</w:t>
            </w:r>
          </w:p>
        </w:tc>
      </w:tr>
      <w:tr>
        <w:tc>
          <w:tcPr>
            <w:tcW w:type="dxa" w:w="3024"/>
          </w:tcPr>
          <w:p>
            <w:r/>
            <w:r>
              <w:rPr>
                <w:b/>
                <w:sz w:val="19"/>
              </w:rPr>
              <w:t>Positioning</w:t>
            </w:r>
          </w:p>
        </w:tc>
        <w:tc>
          <w:tcPr>
            <w:tcW w:type="dxa" w:w="6624"/>
          </w:tcPr>
          <w:p>
            <w:r/>
            <w:r>
              <w:rPr>
                <w:sz w:val="19"/>
              </w:rPr>
              <w:t>Read the Position Before You Make the Move</w:t>
            </w:r>
          </w:p>
        </w:tc>
      </w:tr>
      <w:tr>
        <w:tc>
          <w:tcPr>
            <w:tcW w:type="dxa" w:w="3024"/>
          </w:tcPr>
          <w:p>
            <w:r/>
            <w:r>
              <w:rPr>
                <w:b/>
                <w:sz w:val="19"/>
              </w:rPr>
              <w:t>Format</w:t>
            </w:r>
          </w:p>
        </w:tc>
        <w:tc>
          <w:tcPr>
            <w:tcW w:type="dxa" w:w="6624"/>
          </w:tcPr>
          <w:p>
            <w:r/>
            <w:r>
              <w:rPr>
                <w:sz w:val="19"/>
              </w:rPr>
              <w:t>FREE FLAGSHIP · 90 minutes</w:t>
            </w:r>
          </w:p>
        </w:tc>
      </w:tr>
      <w:tr>
        <w:tc>
          <w:tcPr>
            <w:tcW w:type="dxa" w:w="3024"/>
          </w:tcPr>
          <w:p>
            <w:r/>
            <w:r>
              <w:rPr>
                <w:b/>
                <w:sz w:val="19"/>
              </w:rPr>
              <w:t>Date</w:t>
            </w:r>
          </w:p>
        </w:tc>
        <w:tc>
          <w:tcPr>
            <w:tcW w:type="dxa" w:w="6624"/>
          </w:tcPr>
          <w:p>
            <w:r/>
            <w:r>
              <w:rPr>
                <w:sz w:val="19"/>
              </w:rPr>
              <w:t>Wednesday, September 16, 2026</w:t>
            </w:r>
          </w:p>
        </w:tc>
      </w:tr>
      <w:tr>
        <w:tc>
          <w:tcPr>
            <w:tcW w:type="dxa" w:w="3024"/>
          </w:tcPr>
          <w:p>
            <w:r/>
            <w:r>
              <w:rPr>
                <w:b/>
                <w:sz w:val="19"/>
              </w:rPr>
              <w:t>Time</w:t>
            </w:r>
          </w:p>
        </w:tc>
        <w:tc>
          <w:tcPr>
            <w:tcW w:type="dxa" w:w="6624"/>
          </w:tcPr>
          <w:p>
            <w:r/>
            <w:r>
              <w:rPr>
                <w:sz w:val="19"/>
              </w:rPr>
              <w:t>6:00–7:30 PM Central Time (America/Chicago)</w:t>
            </w:r>
          </w:p>
        </w:tc>
      </w:tr>
      <w:tr>
        <w:tc>
          <w:tcPr>
            <w:tcW w:type="dxa" w:w="3024"/>
          </w:tcPr>
          <w:p>
            <w:r/>
            <w:r>
              <w:rPr>
                <w:b/>
                <w:sz w:val="19"/>
              </w:rPr>
              <w:t>Price</w:t>
            </w:r>
          </w:p>
        </w:tc>
        <w:tc>
          <w:tcPr>
            <w:tcW w:type="dxa" w:w="6624"/>
          </w:tcPr>
          <w:p>
            <w:r/>
            <w:r>
              <w:rPr>
                <w:sz w:val="19"/>
              </w:rPr>
              <w:t>Free</w:t>
            </w:r>
          </w:p>
        </w:tc>
      </w:tr>
      <w:tr>
        <w:tc>
          <w:tcPr>
            <w:tcW w:type="dxa" w:w="3024"/>
          </w:tcPr>
          <w:p>
            <w:r/>
            <w:r>
              <w:rPr>
                <w:b/>
                <w:sz w:val="19"/>
              </w:rPr>
              <w:t>Capacity</w:t>
            </w:r>
          </w:p>
        </w:tc>
        <w:tc>
          <w:tcPr>
            <w:tcW w:type="dxa" w:w="6624"/>
          </w:tcPr>
          <w:p>
            <w:r/>
            <w:r>
              <w:rPr>
                <w:sz w:val="19"/>
              </w:rPr>
              <w:t>Open registration — no artificial commercial cap</w:t>
            </w:r>
          </w:p>
        </w:tc>
      </w:tr>
    </w:tbl>
    <w:p>
      <w:pPr>
        <w:spacing w:after="80"/>
      </w:pPr>
    </w:p>
    <w:p>
      <w:pPr>
        <w:spacing w:after="160"/>
      </w:pPr>
      <w:r>
        <w:rPr>
          <w:b/>
          <w:i w:val="0"/>
          <w:color w:val="B00000"/>
          <w:sz w:val="19"/>
        </w:rPr>
        <w:t>Use CT / Central Time / America/Chicago. Never write CST.</w:t>
      </w:r>
    </w:p>
    <w:p>
      <w:pPr>
        <w:spacing w:before="120" w:after="120"/>
      </w:pPr>
      <w:r>
        <w:rPr>
          <w:color w:val="555555"/>
          <w:sz w:val="16"/>
        </w:rPr>
        <w:t>――――――――――――――――――――――――――――――――――――――――――――――――――――――――――――――――――――――――――――――――――――――――――</w:t>
      </w:r>
    </w:p>
    <w:p>
      <w:pPr>
        <w:spacing w:before="320" w:after="160"/>
      </w:pPr>
      <w:r>
        <w:rPr>
          <w:b/>
          <w:color w:val="0F2347"/>
          <w:sz w:val="32"/>
        </w:rPr>
        <w:t>4. 90-minute timing architecture</w:t>
      </w:r>
    </w:p>
    <w:tbl>
      <w:tblPr>
        <w:tblW w:type="auto" w:w="0"/>
        <w:tblLayout w:type="fixed"/>
        <w:tblLook w:firstColumn="1" w:firstRow="1" w:lastColumn="0" w:lastRow="0" w:noHBand="0" w:noVBand="1" w:val="04A0"/>
      </w:tblPr>
      <w:tblGrid>
        <w:gridCol w:w="5040"/>
        <w:gridCol w:w="5040"/>
      </w:tblGrid>
      <w:tr>
        <w:tc>
          <w:tcPr>
            <w:tcW w:type="dxa" w:w="1584"/>
            <w:shd w:val="clear" w:fill="0F2347"/>
          </w:tcPr>
          <w:p>
            <w:r/>
            <w:r>
              <w:rPr>
                <w:b/>
                <w:color w:val="FFFFFF"/>
                <w:sz w:val="19"/>
              </w:rPr>
              <w:t>Minutes</w:t>
            </w:r>
          </w:p>
        </w:tc>
        <w:tc>
          <w:tcPr>
            <w:tcW w:type="dxa" w:w="8064"/>
            <w:shd w:val="clear" w:fill="0F2347"/>
          </w:tcPr>
          <w:p>
            <w:r/>
            <w:r>
              <w:rPr>
                <w:b/>
                <w:color w:val="FFFFFF"/>
                <w:sz w:val="19"/>
              </w:rPr>
              <w:t>Block</w:t>
            </w:r>
          </w:p>
        </w:tc>
      </w:tr>
      <w:tr>
        <w:tc>
          <w:tcPr>
            <w:tcW w:type="dxa" w:w="1584"/>
          </w:tcPr>
          <w:p>
            <w:r/>
            <w:r>
              <w:rPr>
                <w:b/>
                <w:sz w:val="19"/>
              </w:rPr>
              <w:t>0–5</w:t>
            </w:r>
          </w:p>
        </w:tc>
        <w:tc>
          <w:tcPr>
            <w:tcW w:type="dxa" w:w="8064"/>
          </w:tcPr>
          <w:p>
            <w:r/>
            <w:r>
              <w:rPr>
                <w:sz w:val="19"/>
              </w:rPr>
              <w:t>Open / vantage / boundary / reframe. Biography capped at 90 seconds.</w:t>
            </w:r>
          </w:p>
        </w:tc>
      </w:tr>
      <w:tr>
        <w:tc>
          <w:tcPr>
            <w:tcW w:type="dxa" w:w="1584"/>
          </w:tcPr>
          <w:p>
            <w:r/>
            <w:r>
              <w:rPr>
                <w:b/>
                <w:sz w:val="19"/>
              </w:rPr>
              <w:t>5–9</w:t>
            </w:r>
          </w:p>
        </w:tc>
        <w:tc>
          <w:tcPr>
            <w:tcW w:type="dxa" w:w="8064"/>
          </w:tcPr>
          <w:p>
            <w:r/>
            <w:r>
              <w:rPr>
                <w:sz w:val="19"/>
              </w:rPr>
              <w:t>Density and Optionality definitions, with their corrections.</w:t>
            </w:r>
          </w:p>
        </w:tc>
      </w:tr>
      <w:tr>
        <w:tc>
          <w:tcPr>
            <w:tcW w:type="dxa" w:w="1584"/>
          </w:tcPr>
          <w:p>
            <w:r/>
            <w:r>
              <w:rPr>
                <w:b/>
                <w:sz w:val="19"/>
              </w:rPr>
              <w:t>9–17</w:t>
            </w:r>
          </w:p>
        </w:tc>
        <w:tc>
          <w:tcPr>
            <w:tcW w:type="dxa" w:w="8064"/>
          </w:tcPr>
          <w:p>
            <w:r/>
            <w:r>
              <w:rPr>
                <w:sz w:val="19"/>
              </w:rPr>
              <w:t>Full initial read. All 12 statements. No evidence lines.</w:t>
            </w:r>
          </w:p>
        </w:tc>
      </w:tr>
      <w:tr>
        <w:tc>
          <w:tcPr>
            <w:tcW w:type="dxa" w:w="1584"/>
          </w:tcPr>
          <w:p>
            <w:r/>
            <w:r>
              <w:rPr>
                <w:b/>
                <w:sz w:val="19"/>
              </w:rPr>
              <w:t>17–20</w:t>
            </w:r>
          </w:p>
        </w:tc>
        <w:tc>
          <w:tcPr>
            <w:tcW w:type="dxa" w:w="8064"/>
          </w:tcPr>
          <w:p>
            <w:r/>
            <w:r>
              <w:rPr>
                <w:sz w:val="19"/>
              </w:rPr>
              <w:t>Initial private position and confidence.</w:t>
            </w:r>
          </w:p>
        </w:tc>
      </w:tr>
      <w:tr>
        <w:tc>
          <w:tcPr>
            <w:tcW w:type="dxa" w:w="1584"/>
          </w:tcPr>
          <w:p>
            <w:r/>
            <w:r>
              <w:rPr>
                <w:b/>
                <w:sz w:val="19"/>
              </w:rPr>
              <w:t>20–30</w:t>
            </w:r>
          </w:p>
        </w:tc>
        <w:tc>
          <w:tcPr>
            <w:tcW w:type="dxa" w:w="8064"/>
          </w:tcPr>
          <w:p>
            <w:r/>
            <w:r>
              <w:rPr>
                <w:sz w:val="19"/>
              </w:rPr>
              <w:t>Evidence protocol and the three misreadings.</w:t>
            </w:r>
          </w:p>
        </w:tc>
      </w:tr>
      <w:tr>
        <w:tc>
          <w:tcPr>
            <w:tcW w:type="dxa" w:w="1584"/>
          </w:tcPr>
          <w:p>
            <w:r/>
            <w:r>
              <w:rPr>
                <w:b/>
                <w:sz w:val="19"/>
              </w:rPr>
              <w:t>30–42</w:t>
            </w:r>
          </w:p>
        </w:tc>
        <w:tc>
          <w:tcPr>
            <w:tcW w:type="dxa" w:w="8064"/>
          </w:tcPr>
          <w:p>
            <w:r/>
            <w:r>
              <w:rPr>
                <w:sz w:val="19"/>
              </w:rPr>
              <w:t>Full evidence-backed read. PROTECT THIS BLOCK.</w:t>
            </w:r>
          </w:p>
        </w:tc>
      </w:tr>
      <w:tr>
        <w:tc>
          <w:tcPr>
            <w:tcW w:type="dxa" w:w="1584"/>
          </w:tcPr>
          <w:p>
            <w:r/>
            <w:r>
              <w:rPr>
                <w:b/>
                <w:sz w:val="19"/>
              </w:rPr>
              <w:t>42–48</w:t>
            </w:r>
          </w:p>
        </w:tc>
        <w:tc>
          <w:tcPr>
            <w:tcW w:type="dxa" w:w="8064"/>
          </w:tcPr>
          <w:p>
            <w:r/>
            <w:r>
              <w:rPr>
                <w:sz w:val="19"/>
              </w:rPr>
              <w:t>Re-total, sensitivity check, corrected position.</w:t>
            </w:r>
          </w:p>
        </w:tc>
      </w:tr>
      <w:tr>
        <w:tc>
          <w:tcPr>
            <w:tcW w:type="dxa" w:w="1584"/>
          </w:tcPr>
          <w:p>
            <w:r/>
            <w:r>
              <w:rPr>
                <w:b/>
                <w:sz w:val="19"/>
              </w:rPr>
              <w:t>48–52</w:t>
            </w:r>
          </w:p>
        </w:tc>
        <w:tc>
          <w:tcPr>
            <w:tcW w:type="dxa" w:w="8064"/>
          </w:tcPr>
          <w:p>
            <w:r/>
            <w:r>
              <w:rPr>
                <w:sz w:val="19"/>
              </w:rPr>
              <w:t>What moved — one optional anonymous interaction.</w:t>
            </w:r>
          </w:p>
        </w:tc>
      </w:tr>
      <w:tr>
        <w:tc>
          <w:tcPr>
            <w:tcW w:type="dxa" w:w="1584"/>
          </w:tcPr>
          <w:p>
            <w:r/>
            <w:r>
              <w:rPr>
                <w:b/>
                <w:sz w:val="19"/>
              </w:rPr>
              <w:t>52–57</w:t>
            </w:r>
          </w:p>
        </w:tc>
        <w:tc>
          <w:tcPr>
            <w:tcW w:type="dxa" w:w="8064"/>
          </w:tcPr>
          <w:p>
            <w:r/>
            <w:r>
              <w:rPr>
                <w:sz w:val="19"/>
              </w:rPr>
              <w:t>The Four States, concisely. Five minutes maximum.</w:t>
            </w:r>
          </w:p>
        </w:tc>
      </w:tr>
      <w:tr>
        <w:tc>
          <w:tcPr>
            <w:tcW w:type="dxa" w:w="1584"/>
          </w:tcPr>
          <w:p>
            <w:r/>
            <w:r>
              <w:rPr>
                <w:b/>
                <w:sz w:val="19"/>
              </w:rPr>
              <w:t>57–62</w:t>
            </w:r>
          </w:p>
        </w:tc>
        <w:tc>
          <w:tcPr>
            <w:tcW w:type="dxa" w:w="8064"/>
          </w:tcPr>
          <w:p>
            <w:r/>
            <w:r>
              <w:rPr>
                <w:sz w:val="19"/>
              </w:rPr>
              <w:t>Seven move categories.</w:t>
            </w:r>
          </w:p>
        </w:tc>
      </w:tr>
      <w:tr>
        <w:tc>
          <w:tcPr>
            <w:tcW w:type="dxa" w:w="1584"/>
          </w:tcPr>
          <w:p>
            <w:r/>
            <w:r>
              <w:rPr>
                <w:b/>
                <w:sz w:val="19"/>
              </w:rPr>
              <w:t>62–68</w:t>
            </w:r>
          </w:p>
        </w:tc>
        <w:tc>
          <w:tcPr>
            <w:tcW w:type="dxa" w:w="8064"/>
          </w:tcPr>
          <w:p>
            <w:r/>
            <w:r>
              <w:rPr>
                <w:sz w:val="19"/>
              </w:rPr>
              <w:t>The Next-Move Note.</w:t>
            </w:r>
          </w:p>
        </w:tc>
      </w:tr>
      <w:tr>
        <w:tc>
          <w:tcPr>
            <w:tcW w:type="dxa" w:w="1584"/>
          </w:tcPr>
          <w:p>
            <w:r/>
            <w:r>
              <w:rPr>
                <w:b/>
                <w:sz w:val="19"/>
              </w:rPr>
              <w:t>68–69:15</w:t>
            </w:r>
          </w:p>
        </w:tc>
        <w:tc>
          <w:tcPr>
            <w:tcW w:type="dxa" w:w="8064"/>
          </w:tcPr>
          <w:p>
            <w:r/>
            <w:r>
              <w:rPr>
                <w:sz w:val="19"/>
              </w:rPr>
              <w:t>Choose How You Want to Continue the Read — self-segmentation.</w:t>
            </w:r>
          </w:p>
        </w:tc>
      </w:tr>
      <w:tr>
        <w:tc>
          <w:tcPr>
            <w:tcW w:type="dxa" w:w="1584"/>
          </w:tcPr>
          <w:p>
            <w:r/>
            <w:r>
              <w:rPr>
                <w:b/>
                <w:sz w:val="19"/>
              </w:rPr>
              <w:t>69:15–70:35</w:t>
            </w:r>
          </w:p>
        </w:tc>
        <w:tc>
          <w:tcPr>
            <w:tcW w:type="dxa" w:w="8064"/>
          </w:tcPr>
          <w:p>
            <w:r/>
            <w:r>
              <w:rPr>
                <w:sz w:val="19"/>
              </w:rPr>
              <w:t>The Capability Formation Field Kit.</w:t>
            </w:r>
          </w:p>
        </w:tc>
      </w:tr>
      <w:tr>
        <w:tc>
          <w:tcPr>
            <w:tcW w:type="dxa" w:w="1584"/>
          </w:tcPr>
          <w:p>
            <w:r/>
            <w:r>
              <w:rPr>
                <w:b/>
                <w:sz w:val="19"/>
              </w:rPr>
              <w:t>70:35–72</w:t>
            </w:r>
          </w:p>
        </w:tc>
        <w:tc>
          <w:tcPr>
            <w:tcW w:type="dxa" w:w="8064"/>
          </w:tcPr>
          <w:p>
            <w:r/>
            <w:r>
              <w:rPr>
                <w:sz w:val="19"/>
              </w:rPr>
              <w:t>The Private Capability Position Read.</w:t>
            </w:r>
          </w:p>
        </w:tc>
      </w:tr>
      <w:tr>
        <w:tc>
          <w:tcPr>
            <w:tcW w:type="dxa" w:w="1584"/>
          </w:tcPr>
          <w:p>
            <w:r/>
            <w:r>
              <w:rPr>
                <w:b/>
                <w:sz w:val="19"/>
              </w:rPr>
              <w:t>72–75</w:t>
            </w:r>
          </w:p>
        </w:tc>
        <w:tc>
          <w:tcPr>
            <w:tcW w:type="dxa" w:w="8064"/>
          </w:tcPr>
          <w:p>
            <w:r/>
            <w:r>
              <w:rPr>
                <w:sz w:val="19"/>
              </w:rPr>
              <w:t>Buffer and evergreen close. RECORDING STOPS AT 75.</w:t>
            </w:r>
          </w:p>
        </w:tc>
      </w:tr>
      <w:tr>
        <w:tc>
          <w:tcPr>
            <w:tcW w:type="dxa" w:w="1584"/>
          </w:tcPr>
          <w:p>
            <w:r/>
            <w:r>
              <w:rPr>
                <w:b/>
                <w:sz w:val="19"/>
              </w:rPr>
              <w:t>75–90</w:t>
            </w:r>
          </w:p>
        </w:tc>
        <w:tc>
          <w:tcPr>
            <w:tcW w:type="dxa" w:w="8064"/>
          </w:tcPr>
          <w:p>
            <w:r/>
            <w:r>
              <w:rPr>
                <w:sz w:val="19"/>
              </w:rPr>
              <w:t>Questions &amp; Applications — live only, not recorded.</w:t>
            </w:r>
          </w:p>
        </w:tc>
      </w:tr>
    </w:tbl>
    <w:p>
      <w:pPr>
        <w:spacing w:after="80"/>
      </w:pPr>
    </w:p>
    <w:p>
      <w:pPr>
        <w:spacing w:after="160"/>
      </w:pPr>
      <w:r>
        <w:rPr>
          <w:b/>
          <w:i w:val="0"/>
          <w:color w:val="000000"/>
          <w:sz w:val="19"/>
        </w:rPr>
        <w:t>The 30–42 evidence-backed read is the evidentiary centre of the flagship. Never cut it to recover time lost elsewhere; take the time from the 48–52 interaction or the 72–75 buffer instead.</w:t>
      </w:r>
    </w:p>
    <w:p>
      <w:pPr>
        <w:spacing w:before="120" w:after="120"/>
      </w:pPr>
      <w:r>
        <w:rPr>
          <w:color w:val="555555"/>
          <w:sz w:val="16"/>
        </w:rPr>
        <w:t>――――――――――――――――――――――――――――――――――――――――――――――――――――――――――――――――――――――――――――――――――――――――――</w:t>
      </w:r>
    </w:p>
    <w:p>
      <w:pPr>
        <w:spacing w:before="320" w:after="160"/>
      </w:pPr>
      <w:r>
        <w:rPr>
          <w:b/>
          <w:color w:val="0F2347"/>
          <w:sz w:val="32"/>
        </w:rPr>
        <w:t>5. Recording policy</w:t>
      </w:r>
    </w:p>
    <w:p>
      <w:pPr>
        <w:spacing w:after="160"/>
      </w:pPr>
      <w:r>
        <w:rPr>
          <w:b/>
          <w:i w:val="0"/>
          <w:color w:val="000000"/>
          <w:sz w:val="21"/>
        </w:rPr>
        <w:t>THE CORE IS RECORDED. The flagship is designed to become an evergreen demand asset, so minutes 0–75 are captured and may be distributed as the evergreen replay. Minutes 75–90 are not.</w:t>
      </w:r>
    </w:p>
    <w:p>
      <w:pPr>
        <w:pStyle w:val="ListBullet"/>
        <w:spacing w:after="60"/>
      </w:pPr>
      <w:r>
        <w:rPr>
          <w:color w:val="000000"/>
          <w:sz w:val="19"/>
        </w:rPr>
        <w:t>Start the recording on slide 1. If a dated holding screen is used, it is shown BEFORE recording begins so the date never enters the replay.</w:t>
      </w:r>
    </w:p>
    <w:p>
      <w:pPr>
        <w:pStyle w:val="ListBullet"/>
        <w:spacing w:after="60"/>
      </w:pPr>
      <w:r>
        <w:rPr>
          <w:color w:val="000000"/>
          <w:sz w:val="19"/>
        </w:rPr>
        <w:t>At minute 75, stop or pause the recording before opening participant Q&amp;A.</w:t>
      </w:r>
    </w:p>
    <w:p>
      <w:pPr>
        <w:pStyle w:val="ListBullet"/>
        <w:spacing w:after="60"/>
      </w:pPr>
      <w:r>
        <w:rPr>
          <w:color w:val="000000"/>
          <w:sz w:val="19"/>
        </w:rPr>
        <w:t>If the platform automatically captures the entire meeting: retain the raw file privately and trim the evergreen replay so it ends before participant Q&amp;A.</w:t>
      </w:r>
    </w:p>
    <w:p>
      <w:pPr>
        <w:pStyle w:val="ListBullet"/>
        <w:spacing w:after="60"/>
      </w:pPr>
      <w:r>
        <w:rPr>
          <w:color w:val="000000"/>
          <w:sz w:val="19"/>
        </w:rPr>
        <w:t>Distribute only the 0–75 evergreen core unless Temidayo explicitly approves otherwise. Participant Q&amp;A is excluded from any shared or published replay, under every distribution model.</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120" w:after="120"/>
      </w:pPr>
      <w:r>
        <w:rPr>
          <w:color w:val="555555"/>
          <w:sz w:val="16"/>
        </w:rPr>
        <w:t>――――――――――――――――――――――――――――――――――――――――――――――――――――――――――――――――――――――――――――――――――――――――――</w:t>
      </w:r>
    </w:p>
    <w:p>
      <w:pPr>
        <w:spacing w:before="320" w:after="160"/>
      </w:pPr>
      <w:r>
        <w:rPr>
          <w:b/>
          <w:color w:val="0F2347"/>
          <w:sz w:val="32"/>
        </w:rPr>
        <w:t>6. Privacy policy and participant audio</w:t>
      </w:r>
    </w:p>
    <w:p>
      <w:pPr>
        <w:spacing w:after="160"/>
      </w:pPr>
      <w:r>
        <w:rPr>
          <w:b/>
          <w:i w:val="0"/>
          <w:color w:val="000000"/>
          <w:sz w:val="21"/>
        </w:rPr>
        <w:t>PARTICIPANT MICROPHONES ARE MUTED BY DEFAULT FOR MINUTES 0–75. No participant is invited to explain their situation verbally while the recording is on.</w:t>
      </w:r>
    </w:p>
    <w:p>
      <w:pPr>
        <w:pStyle w:val="ListBullet"/>
        <w:spacing w:after="60"/>
      </w:pPr>
      <w:r>
        <w:rPr>
          <w:color w:val="000000"/>
          <w:sz w:val="19"/>
        </w:rPr>
        <w:t>Mute on entry. Do not unmute participants during the recorded core.</w:t>
      </w:r>
    </w:p>
    <w:p>
      <w:pPr>
        <w:pStyle w:val="ListBullet"/>
        <w:spacing w:after="60"/>
      </w:pPr>
      <w:r>
        <w:rPr>
          <w:color w:val="000000"/>
          <w:sz w:val="19"/>
        </w:rPr>
        <w:t>Participant-specific questions are held until Q&amp;A. Say so once, early, so people know their question has a place rather than feeling dismissed.</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If someone posts a highly personal question in chat, do not read it verbatim. Summarise only the general methodological question, and only if doing so cannot expose the person. Otherwise hold it for minute 75 onward.</w:t>
      </w:r>
    </w:p>
    <w:p>
      <w:pPr>
        <w:pStyle w:val="ListBullet"/>
        <w:spacing w:after="60"/>
      </w:pPr>
      <w:r>
        <w:rPr>
          <w:color w:val="000000"/>
          <w:sz w:val="19"/>
        </w:rPr>
        <w:t>If a participant unmutes and begins describing their situation, interrupt courteously, thank them, and route the question to Q&amp;A. Do not let it run.</w:t>
      </w:r>
    </w:p>
    <w:p>
      <w:pPr>
        <w:spacing w:after="160"/>
      </w:pPr>
      <w:r>
        <w:rPr>
          <w:b w:val="0"/>
          <w:i w:val="0"/>
          <w:color w:val="000000"/>
          <w:sz w:val="21"/>
        </w:rPr>
        <w:t>The rest of the privacy policy applies throughout the recorded core:</w:t>
      </w:r>
    </w:p>
    <w:p>
      <w:pPr>
        <w:pStyle w:val="ListBullet"/>
        <w:spacing w:after="60"/>
      </w:pPr>
      <w:r>
        <w:rPr>
          <w:color w:val="000000"/>
          <w:sz w:val="19"/>
        </w:rPr>
        <w:t>Participant scores stay private. Participant states stay private.</w:t>
      </w:r>
    </w:p>
    <w:p>
      <w:pPr>
        <w:pStyle w:val="ListBullet"/>
        <w:spacing w:after="60"/>
      </w:pPr>
      <w:r>
        <w:rPr>
          <w:color w:val="000000"/>
          <w:sz w:val="19"/>
        </w:rPr>
        <w:t>No participant is asked to explain their personal situation aloud.</w:t>
      </w:r>
    </w:p>
    <w:p>
      <w:pPr>
        <w:pStyle w:val="ListBullet"/>
        <w:spacing w:after="60"/>
      </w:pPr>
      <w:r>
        <w:rPr>
          <w:color w:val="000000"/>
          <w:sz w:val="19"/>
        </w:rPr>
        <w:t>Do not use named chat responses as teaching examples.</w:t>
      </w:r>
    </w:p>
    <w:p>
      <w:pPr>
        <w:pStyle w:val="ListBullet"/>
        <w:spacing w:after="60"/>
      </w:pPr>
      <w:r>
        <w:rPr>
          <w:color w:val="000000"/>
          <w:sz w:val="19"/>
        </w:rPr>
        <w:t>Do not display individual scores.</w:t>
      </w:r>
    </w:p>
    <w:p>
      <w:pPr>
        <w:pStyle w:val="ListBullet"/>
        <w:spacing w:after="60"/>
      </w:pPr>
      <w:r>
        <w:rPr>
          <w:color w:val="000000"/>
          <w:sz w:val="19"/>
        </w:rPr>
        <w:t>Use only anonymous aggregate interaction, and never read singleton counts.</w:t>
      </w:r>
    </w:p>
    <w:p>
      <w:pPr>
        <w:pStyle w:val="ListBullet"/>
        <w:spacing w:after="60"/>
      </w:pPr>
      <w:r>
        <w:rPr>
          <w:color w:val="000000"/>
          <w:sz w:val="19"/>
        </w:rPr>
        <w:t>Employer names, personal circumstances, third-party names and individual career decisions must not enter the permanent evergreen replay.</w:t>
      </w:r>
    </w:p>
    <w:p>
      <w:pPr>
        <w:spacing w:after="160"/>
      </w:pPr>
      <w:r>
        <w:rPr>
          <w:b/>
          <w:color w:val="996600"/>
          <w:sz w:val="19"/>
        </w:rPr>
        <w:t xml:space="preserve">EARLY DISCLOSURE:  </w:t>
      </w:r>
      <w:r>
        <w:rPr>
          <w:color w:val="000000"/>
          <w:sz w:val="19"/>
        </w:rPr>
        <w:t>“The teaching portion of this session is being recorded so people can revisit the method. Your scores and private workbook stay yours. The live Q&amp;A at the end is not part of the evergreen replay.” Say it once, calmly. Do not expand it into a disclaimer.</w:t>
      </w:r>
    </w:p>
    <w:p>
      <w:pPr>
        <w:spacing w:before="120" w:after="120"/>
      </w:pPr>
      <w:r>
        <w:rPr>
          <w:color w:val="555555"/>
          <w:sz w:val="16"/>
        </w:rPr>
        <w:t>――――――――――――――――――――――――――――――――――――――――――――――――――――――――――――――――――――――――――――――――――――――――――</w:t>
      </w:r>
    </w:p>
    <w:p>
      <w:pPr>
        <w:spacing w:before="320" w:after="160"/>
      </w:pPr>
      <w:r>
        <w:rPr>
          <w:b/>
          <w:color w:val="0F2347"/>
          <w:sz w:val="32"/>
        </w:rPr>
        <w:t>7. Open-registration policy</w:t>
      </w:r>
    </w:p>
    <w:p>
      <w:pPr>
        <w:spacing w:after="160"/>
      </w:pPr>
      <w:r>
        <w:rPr>
          <w:b w:val="0"/>
          <w:i w:val="0"/>
          <w:color w:val="000000"/>
          <w:sz w:val="21"/>
        </w:rPr>
        <w:t>Registration is open. There is no artificial commercial cap and no scarcity framing.</w:t>
      </w:r>
    </w:p>
    <w:p>
      <w:pPr>
        <w:spacing w:after="160"/>
      </w:pPr>
      <w:r>
        <w:rPr>
          <w:b/>
          <w:i w:val="0"/>
          <w:color w:val="B00000"/>
          <w:sz w:val="19"/>
        </w:rPr>
        <w:t>Do not use: Limited to 12 · only X seats · founding cohort · beta pricing · $500 crossed out · normally $500 · free this time only · discount · coupon · any urgency device.</w:t>
      </w:r>
    </w:p>
    <w:p>
      <w:pPr>
        <w:spacing w:before="120" w:after="120"/>
      </w:pPr>
      <w:r>
        <w:rPr>
          <w:color w:val="555555"/>
          <w:sz w:val="16"/>
        </w:rPr>
        <w:t>――――――――――――――――――――――――――――――――――――――――――――――――――――――――――――――――――――――――――――――――――――――――――</w:t>
      </w:r>
    </w:p>
    <w:p>
      <w:pPr>
        <w:spacing w:before="320" w:after="160"/>
      </w:pPr>
      <w:r>
        <w:rPr>
          <w:b/>
          <w:color w:val="0F2347"/>
          <w:sz w:val="32"/>
        </w:rPr>
        <w:t>8. Technical-capacity watch rule</w:t>
      </w:r>
    </w:p>
    <w:p>
      <w:pPr>
        <w:spacing w:after="160"/>
      </w:pPr>
      <w:r>
        <w:rPr>
          <w:b/>
          <w:color w:val="B00000"/>
          <w:sz w:val="20"/>
        </w:rPr>
        <w:t xml:space="preserve">WATCH ITEM —  </w:t>
      </w:r>
      <w:r>
        <w:rPr>
          <w:color w:val="000000"/>
          <w:sz w:val="20"/>
        </w:rPr>
        <w:t>Open registration is the commercial policy. Live platform capacity must be checked against actual registration and expected attendance before each delivery. If expected live attendance may exceed the current Zoom capacity, Temidayo must increase technical capacity or choose an overflow/replay operating plan before promotion continues.</w:t>
      </w:r>
    </w:p>
    <w:p>
      <w:pPr>
        <w:spacing w:after="160"/>
      </w:pPr>
      <w:r>
        <w:rPr>
          <w:b w:val="0"/>
          <w:i w:val="0"/>
          <w:color w:val="000000"/>
          <w:sz w:val="19"/>
        </w:rPr>
        <w:t>The current operating family documents a 100-participant live Zoom capacity. Do not assume that has been upgraded. No webinar licence, no 500-person or 1,000-person capacity may be claimed until it actually exists.</w:t>
      </w:r>
    </w:p>
    <w:p>
      <w:pPr>
        <w:spacing w:before="120" w:after="120"/>
      </w:pPr>
      <w:r>
        <w:rPr>
          <w:color w:val="555555"/>
          <w:sz w:val="16"/>
        </w:rPr>
        <w:t>――――――――――――――――――――――――――――――――――――――――――――――――――――――――――――――――――――――――――――――――――――――――――</w:t>
      </w:r>
    </w:p>
    <w:p>
      <w:pPr>
        <w:spacing w:before="320" w:after="160"/>
      </w:pPr>
      <w:r>
        <w:rPr>
          <w:b/>
          <w:color w:val="0F2347"/>
          <w:sz w:val="32"/>
        </w:rPr>
        <w:t>9. Pre-session operations</w:t>
      </w:r>
    </w:p>
    <w:p>
      <w:pPr>
        <w:pStyle w:val="ListBullet"/>
        <w:spacing w:after="60"/>
      </w:pPr>
      <w:r>
        <w:rPr>
          <w:color w:val="000000"/>
          <w:sz w:val="19"/>
        </w:rPr>
        <w:t>Confirm the live platform capacity against registration (Section 8).</w:t>
      </w:r>
    </w:p>
    <w:p>
      <w:pPr>
        <w:pStyle w:val="ListBullet"/>
        <w:spacing w:after="60"/>
      </w:pPr>
      <w:r>
        <w:rPr>
          <w:color w:val="000000"/>
          <w:sz w:val="19"/>
        </w:rPr>
        <w:t>Correct deck version downloaded locally; backup available.</w:t>
      </w:r>
    </w:p>
    <w:p>
      <w:pPr>
        <w:pStyle w:val="ListBullet"/>
        <w:spacing w:after="60"/>
      </w:pPr>
      <w:r>
        <w:rPr>
          <w:color w:val="000000"/>
          <w:sz w:val="19"/>
        </w:rPr>
        <w:t>Workbook distribution ready: Capability_Position_Read_FREE_FLAGSHIP_Workbook_v1.2_CANDIDATE. Send the link with the joining details and paste it again in chat at minute 4. It is available in full from the start — nothing is released in stages.</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(appendix) ready for the arrival window.</w:t>
      </w:r>
    </w:p>
    <w:p>
      <w:pPr>
        <w:pStyle w:val="ListBullet"/>
        <w:spacing w:after="60"/>
      </w:pPr>
      <w:r>
        <w:rPr>
          <w:color w:val="000000"/>
          <w:sz w:val="19"/>
        </w:rPr>
        <w:t>Field Kit link and Private Read routing confirmed, or the close adjusted to state honestly that a route is not yet open.</w:t>
      </w:r>
    </w:p>
    <w:p>
      <w:pPr>
        <w:pStyle w:val="ListBullet"/>
        <w:spacing w:after="60"/>
      </w:pPr>
      <w:r>
        <w:rPr>
          <w:color w:val="000000"/>
          <w:sz w:val="19"/>
        </w:rPr>
        <w:t>Timer ready. Backup internet ready.</w:t>
      </w:r>
    </w:p>
    <w:p>
      <w:pPr>
        <w:pStyle w:val="ListBullet"/>
        <w:spacing w:after="60"/>
      </w:pPr>
      <w:r>
        <w:rPr>
          <w:color w:val="000000"/>
          <w:sz w:val="19"/>
        </w:rPr>
        <w:t>Institutional variant decided in advance if this is a school or association delivery (Section 14).</w:t>
      </w:r>
    </w:p>
    <w:p>
      <w:pPr>
        <w:spacing w:before="120" w:after="120"/>
      </w:pPr>
      <w:r>
        <w:rPr>
          <w:color w:val="555555"/>
          <w:sz w:val="16"/>
        </w:rPr>
        <w:t>――――――――――――――――――――――――――――――――――――――――――――――――――――――――――――――――――――――――――――――――――――――――――</w:t>
      </w:r>
    </w:p>
    <w:p>
      <w:pPr>
        <w:spacing w:before="320" w:after="160"/>
      </w:pPr>
      <w:r>
        <w:rPr>
          <w:b/>
          <w:color w:val="0F2347"/>
          <w:sz w:val="32"/>
        </w:rPr>
        <w:t>10. Recorded-core operations</w:t>
      </w:r>
    </w:p>
    <w:p>
      <w:pPr>
        <w:pStyle w:val="ListBullet"/>
        <w:spacing w:after="60"/>
      </w:pPr>
      <w:r>
        <w:rPr>
          <w:color w:val="000000"/>
          <w:sz w:val="19"/>
        </w:rPr>
        <w:t>Start recording on slide 1, not on the holding slide.</w:t>
      </w:r>
    </w:p>
    <w:p>
      <w:pPr>
        <w:pStyle w:val="ListBullet"/>
        <w:spacing w:after="60"/>
      </w:pPr>
      <w:r>
        <w:rPr>
          <w:color w:val="000000"/>
          <w:sz w:val="19"/>
        </w:rPr>
        <w:t>Deliver the recording disclosure inside the first five minutes.</w:t>
      </w:r>
    </w:p>
    <w:p>
      <w:pPr>
        <w:pStyle w:val="ListBullet"/>
        <w:spacing w:after="60"/>
      </w:pPr>
      <w:r>
        <w:rPr>
          <w:color w:val="000000"/>
          <w:sz w:val="19"/>
        </w:rPr>
        <w:t>Paste the workbook link in chat before the first scoring block and say that anyone without it can use paper or any notes app and still complete every step.</w:t>
      </w:r>
    </w:p>
    <w:p>
      <w:pPr>
        <w:pStyle w:val="ListBullet"/>
        <w:spacing w:after="60"/>
      </w:pPr>
      <w:r>
        <w:rPr>
          <w:color w:val="000000"/>
          <w:sz w:val="19"/>
        </w:rPr>
        <w:t>Hold the 90-second biography cap.</w:t>
      </w:r>
    </w:p>
    <w:p>
      <w:pPr>
        <w:pStyle w:val="ListBullet"/>
        <w:spacing w:after="60"/>
      </w:pPr>
      <w:r>
        <w:rPr>
          <w:color w:val="000000"/>
          <w:sz w:val="19"/>
        </w:rPr>
        <w:t>Do not wait for the room to finish writing. There is no readiness gate, no staged release, and no dependency on a small room — the sequence must work with a very large audience.</w:t>
      </w:r>
    </w:p>
    <w:p>
      <w:pPr>
        <w:pStyle w:val="ListBullet"/>
        <w:spacing w:after="60"/>
      </w:pPr>
      <w:r>
        <w:rPr>
          <w:color w:val="000000"/>
          <w:sz w:val="19"/>
        </w:rPr>
        <w:t>Give a two-minute warning before the end of the 30–42 evidence block.</w:t>
      </w:r>
    </w:p>
    <w:p>
      <w:pPr>
        <w:pStyle w:val="ListBullet"/>
        <w:spacing w:after="60"/>
      </w:pPr>
      <w:r>
        <w:rPr>
          <w:color w:val="000000"/>
          <w:sz w:val="19"/>
        </w:rPr>
        <w:t>Keep all interaction anonymous and aggregate.</w:t>
      </w:r>
    </w:p>
    <w:p>
      <w:pPr>
        <w:spacing w:before="120" w:after="120"/>
      </w:pPr>
      <w:r>
        <w:rPr>
          <w:color w:val="555555"/>
          <w:sz w:val="16"/>
        </w:rPr>
        <w:t>――――――――――――――――――――――――――――――――――――――――――――――――――――――――――――――――――――――――――――――――――――――――――</w:t>
      </w:r>
    </w:p>
    <w:p>
      <w:pPr>
        <w:spacing w:before="320" w:after="160"/>
      </w:pPr>
      <w:r>
        <w:rPr>
          <w:b/>
          <w:color w:val="0F2347"/>
          <w:sz w:val="32"/>
        </w:rPr>
        <w:t>11. Recording-stop / Q&amp;A transition</w:t>
      </w:r>
    </w:p>
    <w:p>
      <w:pPr>
        <w:pStyle w:val="ListBullet"/>
        <w:spacing w:after="60"/>
      </w:pPr>
      <w:r>
        <w:rPr>
          <w:color w:val="000000"/>
          <w:sz w:val="19"/>
        </w:rPr>
        <w:t>At minute 75, finish the evergreen close.</w:t>
      </w:r>
    </w:p>
    <w:p>
      <w:pPr>
        <w:pStyle w:val="ListBullet"/>
        <w:spacing w:after="60"/>
      </w:pPr>
      <w:r>
        <w:rPr>
          <w:color w:val="000000"/>
          <w:sz w:val="19"/>
        </w:rPr>
        <w:t>STOP OR PAUSE THE RECORDING. Confirm on screen that it has actually stopped.</w:t>
      </w:r>
    </w:p>
    <w:p>
      <w:pPr>
        <w:pStyle w:val="ListBullet"/>
        <w:spacing w:after="60"/>
      </w:pPr>
      <w:r>
        <w:rPr>
          <w:color w:val="000000"/>
          <w:sz w:val="19"/>
        </w:rPr>
        <w:t>Only then advance to the Questions &amp; Applications slide.</w:t>
      </w:r>
    </w:p>
    <w:p>
      <w:pPr>
        <w:pStyle w:val="ListBullet"/>
        <w:spacing w:after="60"/>
      </w:pPr>
      <w:r>
        <w:rPr>
          <w:color w:val="000000"/>
          <w:sz w:val="19"/>
        </w:rPr>
        <w:t>State the boundary once: “I can help you clarify what your evidence supports. I cannot make the employment decision for you.”</w:t>
      </w:r>
    </w:p>
    <w:p>
      <w:pPr>
        <w:pStyle w:val="ListBullet"/>
        <w:spacing w:after="60"/>
      </w:pPr>
      <w:r>
        <w:rPr>
          <w:color w:val="000000"/>
          <w:sz w:val="19"/>
        </w:rPr>
        <w:t>Q&amp;A may support statement interpretation, boundary and incomplete readings, evidence questions, move-category distinctions, promotion and reorganisation applications, and what to investigate next.</w:t>
      </w:r>
    </w:p>
    <w:p>
      <w:pPr>
        <w:pStyle w:val="ListBullet"/>
        <w:spacing w:after="60"/>
      </w:pPr>
      <w:r>
        <w:rPr>
          <w:color w:val="000000"/>
          <w:sz w:val="19"/>
        </w:rPr>
        <w:t>Q&amp;A must not: tell someone to resign; predict layoffs; answer legal, immigration, medical, financial, compensation, contractual or tax questions; diagnose an employer; ask for scores; ask for employer names.</w:t>
      </w:r>
    </w:p>
    <w:p>
      <w:pPr>
        <w:spacing w:before="120" w:after="120"/>
      </w:pPr>
      <w:r>
        <w:rPr>
          <w:color w:val="555555"/>
          <w:sz w:val="16"/>
        </w:rPr>
        <w:t>――――――――――――――――――――――――――――――――――――――――――――――――――――――――――――――――――――――――――――――――――――――――――</w:t>
      </w:r>
    </w:p>
    <w:p>
      <w:pPr>
        <w:spacing w:before="320" w:after="160"/>
      </w:pPr>
      <w:r>
        <w:rPr>
          <w:b/>
          <w:color w:val="0F2347"/>
          <w:sz w:val="32"/>
        </w:rPr>
        <w:t>12. Replay preparation and distribution rule</w:t>
      </w:r>
    </w:p>
    <w:p>
      <w:pPr>
        <w:spacing w:after="160"/>
      </w:pPr>
      <w:r>
        <w:rPr>
          <w:b/>
          <w:i w:val="0"/>
          <w:color w:val="000000"/>
          <w:sz w:val="21"/>
        </w:rPr>
        <w:t>The evergreen replay may initially be distributed through a registration-gated route. Public unrestricted distribution is a later strategic choice, not a requirement of the flagship architecture.</w:t>
      </w:r>
    </w:p>
    <w:p>
      <w:pPr>
        <w:spacing w:after="160"/>
      </w:pPr>
      <w:r>
        <w:rPr>
          <w:b w:val="0"/>
          <w:i w:val="0"/>
          <w:color w:val="000000"/>
          <w:sz w:val="19"/>
        </w:rPr>
        <w:t>In the registration-gated model a person registers free, receives access to the replay, and the replay continues to function as a demand asset. Nothing in this SOP assumes the replay must be openly public. The gate is a distribution decision and can be changed without touching the deck.</w:t>
      </w:r>
    </w:p>
    <w:p>
      <w:pPr>
        <w:spacing w:after="160"/>
      </w:pPr>
      <w:r>
        <w:rPr>
          <w:b/>
          <w:i w:val="0"/>
          <w:color w:val="B00000"/>
          <w:sz w:val="19"/>
        </w:rPr>
        <w:t>Whichever model is chosen, participant Q&amp;A is excluded from the shared replay. That rule does not vary.</w:t>
      </w:r>
    </w:p>
    <w:p>
      <w:pPr>
        <w:spacing w:after="160"/>
      </w:pPr>
      <w:r>
        <w:rPr>
          <w:b w:val="0"/>
          <w:i w:val="0"/>
          <w:color w:val="000000"/>
          <w:sz w:val="19"/>
        </w:rPr>
        <w:t>Preparation checks, in every model:</w:t>
      </w:r>
    </w:p>
    <w:p>
      <w:pPr>
        <w:pStyle w:val="ListBullet"/>
        <w:spacing w:after="60"/>
      </w:pPr>
      <w:r>
        <w:rPr>
          <w:color w:val="000000"/>
          <w:sz w:val="19"/>
        </w:rPr>
        <w:t>Confirm the distributed cut ends before participant Q&amp;A begins.</w:t>
      </w:r>
    </w:p>
    <w:p>
      <w:pPr>
        <w:pStyle w:val="ListBullet"/>
        <w:spacing w:after="60"/>
      </w:pPr>
      <w:r>
        <w:rPr>
          <w:color w:val="000000"/>
          <w:sz w:val="19"/>
        </w:rPr>
        <w:t>Confirm no participant name, employer name or personal circumstance appears.</w:t>
      </w:r>
    </w:p>
    <w:p>
      <w:pPr>
        <w:pStyle w:val="ListBullet"/>
        <w:spacing w:after="60"/>
      </w:pPr>
      <w:r>
        <w:rPr>
          <w:color w:val="000000"/>
          <w:sz w:val="19"/>
        </w:rPr>
        <w:t>Confirm no date, cohort reference or expiring offer appears in the core.</w:t>
      </w:r>
    </w:p>
    <w:p>
      <w:pPr>
        <w:pStyle w:val="ListBullet"/>
        <w:spacing w:after="60"/>
      </w:pPr>
      <w:r>
        <w:rPr>
          <w:color w:val="000000"/>
          <w:sz w:val="19"/>
        </w:rPr>
        <w:t>Retain the raw full-meeting file privately; it is never the distributed asset.</w:t>
      </w:r>
    </w:p>
    <w:p>
      <w:pPr>
        <w:pStyle w:val="ListBullet"/>
        <w:spacing w:after="60"/>
      </w:pPr>
      <w:r>
        <w:rPr>
          <w:color w:val="000000"/>
          <w:sz w:val="19"/>
        </w:rPr>
        <w:t>The replay is an evergreen demand asset. It should still be accurate and useful months after September 16.</w:t>
      </w:r>
    </w:p>
    <w:p>
      <w:pPr>
        <w:spacing w:before="120" w:after="120"/>
      </w:pPr>
      <w:r>
        <w:rPr>
          <w:color w:val="555555"/>
          <w:sz w:val="16"/>
        </w:rPr>
        <w:t>――――――――――――――――――――――――――――――――――――――――――――――――――――――――――――――――――――――――――――――――――――――――――</w:t>
      </w:r>
    </w:p>
    <w:p>
      <w:pPr>
        <w:spacing w:before="320" w:after="160"/>
      </w:pPr>
      <w:r>
        <w:rPr>
          <w:b/>
          <w:color w:val="0F2347"/>
          <w:sz w:val="32"/>
        </w:rPr>
        <w:t>13. The conversion sequence — three slides, 68:00 to 72:00</w:t>
      </w:r>
    </w:p>
    <w:p>
      <w:pPr>
        <w:spacing w:after="160"/>
      </w:pPr>
      <w:r>
        <w:rPr>
          <w:b/>
          <w:i w:val="0"/>
          <w:color w:val="000000"/>
          <w:sz w:val="21"/>
        </w:rPr>
        <w:t>The single “Two routes, if you want them” slide is replaced by a three-slide self-segmentation sequence. The sequence is still four minutes and the session is still 90 minutes.</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Slide</w:t>
            </w:r>
          </w:p>
        </w:tc>
        <w:tc>
          <w:tcPr>
            <w:tcW w:type="dxa" w:w="6048"/>
            <w:shd w:val="clear" w:fill="0F2347"/>
          </w:tcPr>
          <w:p>
            <w:r/>
            <w:r>
              <w:rPr>
                <w:b/>
                <w:color w:val="FFFFFF"/>
                <w:sz w:val="19"/>
              </w:rPr>
              <w:t>What it does</w:t>
            </w:r>
          </w:p>
        </w:tc>
      </w:tr>
      <w:tr>
        <w:tc>
          <w:tcPr>
            <w:tcW w:type="dxa" w:w="3600"/>
          </w:tcPr>
          <w:p>
            <w:r/>
            <w:r>
              <w:rPr>
                <w:b/>
                <w:sz w:val="19"/>
              </w:rPr>
              <w:t>Slide 29 — Choose How You Want to Continue the Read</w:t>
            </w:r>
          </w:p>
        </w:tc>
        <w:tc>
          <w:tcPr>
            <w:tcW w:type="dxa" w:w="6048"/>
          </w:tcPr>
          <w:p>
            <w:r/>
            <w:r>
              <w:rPr>
                <w:sz w:val="19"/>
              </w:rPr>
              <w:t>Three routes: I have enough for now; I want to keep working privately; I can read the position but the decision is still difficult. Route 1 is said first and said plainly. Releasing the people who have enough is what makes the next two slides credible. No pricing.</w:t>
            </w:r>
          </w:p>
        </w:tc>
      </w:tr>
      <w:tr>
        <w:tc>
          <w:tcPr>
            <w:tcW w:type="dxa" w:w="3600"/>
          </w:tcPr>
          <w:p>
            <w:r/>
            <w:r>
              <w:rPr>
                <w:b/>
                <w:sz w:val="19"/>
              </w:rPr>
              <w:t>Slide 30 — Capability Formation Field Kit</w:t>
            </w:r>
          </w:p>
        </w:tc>
        <w:tc>
          <w:tcPr>
            <w:tcW w:type="dxa" w:w="6048"/>
          </w:tcPr>
          <w:p>
            <w:r/>
            <w:r>
              <w:rPr>
                <w:sz w:val="19"/>
              </w:rPr>
              <w:t>Ownership and repeatability. Shows two real pages from the shipped kit. Never described as more worksheets, as the complete version of today, as required, or as included. No pricing on the face.</w:t>
            </w:r>
          </w:p>
        </w:tc>
      </w:tr>
      <w:tr>
        <w:tc>
          <w:tcPr>
            <w:tcW w:type="dxa" w:w="3600"/>
          </w:tcPr>
          <w:p>
            <w:r/>
            <w:r>
              <w:rPr>
                <w:b/>
                <w:sz w:val="19"/>
              </w:rPr>
              <w:t>Slide 31 — Private Capability Position Read</w:t>
            </w:r>
          </w:p>
        </w:tc>
        <w:tc>
          <w:tcPr>
            <w:tcW w:type="dxa" w:w="6048"/>
          </w:tcPr>
          <w:p>
            <w:r/>
            <w:r>
              <w:rPr>
                <w:sz w:val="19"/>
              </w:rPr>
              <w:t>Context and decision application. Best-for-you-if conditions are recognition points, not an eligibility list. No pricing on the face.</w:t>
            </w:r>
          </w:p>
        </w:tc>
      </w:tr>
    </w:tbl>
    <w:p>
      <w:pPr>
        <w:spacing w:after="80"/>
      </w:pPr>
    </w:p>
    <w:p>
      <w:pPr>
        <w:spacing w:after="160"/>
      </w:pPr>
      <w:r>
        <w:rPr>
          <w:b/>
          <w:i w:val="0"/>
          <w:color w:val="B00000"/>
          <w:sz w:val="19"/>
        </w:rPr>
        <w:t>INSTITUTIONAL DELIVERY: skip slides 29, 30 and 31 entirely and use the hidden INSTITUTIONAL DELIVERY CLOSE instead. No Field Kit, no Private Read, no price and no product CTA is shown unless a commercial institutional close has been deliberately chosen for that engagement.</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Route</w:t>
            </w:r>
          </w:p>
        </w:tc>
        <w:tc>
          <w:tcPr>
            <w:tcW w:type="dxa" w:w="6624"/>
            <w:shd w:val="clear" w:fill="0F2347"/>
          </w:tcPr>
          <w:p>
            <w:r/>
            <w:r>
              <w:rPr>
                <w:b/>
                <w:color w:val="FFFFFF"/>
                <w:sz w:val="19"/>
              </w:rPr>
              <w:t>Public positioning</w:t>
            </w:r>
          </w:p>
        </w:tc>
      </w:tr>
      <w:tr>
        <w:tc>
          <w:tcPr>
            <w:tcW w:type="dxa" w:w="3024"/>
          </w:tcPr>
          <w:p>
            <w:r/>
            <w:r>
              <w:rPr>
                <w:b/>
                <w:sz w:val="19"/>
              </w:rPr>
              <w:t>Capability Formation Field Kit</w:t>
            </w:r>
          </w:p>
        </w:tc>
        <w:tc>
          <w:tcPr>
            <w:tcW w:type="dxa" w:w="6624"/>
          </w:tcPr>
          <w:p>
            <w:r/>
            <w:r>
              <w:rPr>
                <w:sz w:val="19"/>
              </w:rPr>
              <w:t>$150. Private, self-guided continuation of the same evidence discipline. Not discounted, not bundled, never included free.</w:t>
            </w:r>
          </w:p>
        </w:tc>
      </w:tr>
      <w:tr>
        <w:tc>
          <w:tcPr>
            <w:tcW w:type="dxa" w:w="3024"/>
          </w:tcPr>
          <w:p>
            <w:r/>
            <w:r>
              <w:rPr>
                <w:b/>
                <w:sz w:val="19"/>
              </w:rPr>
              <w:t>Private Capability Position Read</w:t>
            </w:r>
          </w:p>
        </w:tc>
        <w:tc>
          <w:tcPr>
            <w:tcW w:type="dxa" w:w="6624"/>
          </w:tcPr>
          <w:p>
            <w:r/>
            <w:r>
              <w:rPr>
                <w:sz w:val="19"/>
              </w:rPr>
              <w:t>$500. The high-touch individual entry offer, applying the evidence to the person's actual context, constraints and next move. Not “starting at”, not “$500+”, not a package, and not coaching or consulting.</w:t>
            </w:r>
          </w:p>
        </w:tc>
      </w:tr>
    </w:tbl>
    <w:p>
      <w:pPr>
        <w:spacing w:after="80"/>
      </w:pPr>
    </w:p>
    <w:p>
      <w:pPr>
        <w:spacing w:after="160"/>
      </w:pPr>
      <w:r>
        <w:rPr>
          <w:b/>
          <w:i w:val="0"/>
          <w:color w:val="000000"/>
          <w:sz w:val="19"/>
        </w:rPr>
        <w:t>CURRENT INDIVIDUAL PRICING SOURCE OF TRUTH: Field Kit exactly $150. Private Capability Position Read exactly $500. These are the internal figures. Neither appears on any recorded slide face.</w:t>
      </w:r>
    </w:p>
    <w:p>
      <w:pPr>
        <w:spacing w:after="160"/>
      </w:pPr>
      <w:r>
        <w:rPr>
          <w:b/>
          <w:i w:val="0"/>
          <w:color w:val="B00000"/>
          <w:sz w:val="19"/>
        </w:rPr>
        <w:t>The retired paid-workshop Field Kit fulfillment code must never appear in the flagship, its replay, the Maven page, LinkedIn, Substack or public website copy. It belongs to the retired paid-workshop fulfillment path and is not part of this product. The code itself is held in the private fulfillment record and is deliberately not reprinted here.</w:t>
      </w:r>
    </w:p>
    <w:p>
      <w:pPr>
        <w:spacing w:after="160"/>
      </w:pPr>
      <w:r>
        <w:rPr>
          <w:b/>
          <w:i w:val="0"/>
          <w:color w:val="B00000"/>
          <w:sz w:val="19"/>
        </w:rPr>
        <w:t>EVERGREEN RECORDING RULE: do not state pricing into the permanent replay unless the current live route has been verified immediately before delivery. Current price and availability are distributed through the live chat, the current website or product route, and follow-up communications. No price appears on any recorded slide face.</w:t>
      </w:r>
    </w:p>
    <w:p>
      <w:pPr>
        <w:spacing w:after="160"/>
      </w:pPr>
      <w:r>
        <w:rPr>
          <w:b/>
          <w:i w:val="0"/>
          <w:color w:val="000000"/>
          <w:sz w:val="19"/>
        </w:rPr>
        <w:t>No discount, no attendee price, no coupon, no early-bird, no launch special, no bundle, no crossed-out price, no automatic credit from the Field Kit toward the Private Read, and no urgency device. An upgrade-credit policy is deliberately not built.</w:t>
      </w:r>
    </w:p>
    <w:p>
      <w:pPr>
        <w:spacing w:after="160"/>
      </w:pPr>
      <w:r>
        <w:rPr>
          <w:b w:val="0"/>
          <w:i w:val="0"/>
          <w:color w:val="000000"/>
          <w:sz w:val="19"/>
        </w:rPr>
        <w:t>Do not promise availability that has not been configured. If a Private Read is not open for booking on the delivery date, say so plainly rather than implying it is.</w:t>
      </w:r>
    </w:p>
    <w:p>
      <w:pPr>
        <w:spacing w:before="120" w:after="120"/>
      </w:pPr>
      <w:r>
        <w:rPr>
          <w:color w:val="555555"/>
          <w:sz w:val="16"/>
        </w:rPr>
        <w:t>――――――――――――――――――――――――――――――――――――――――――――――――――――――――――――――――――――――――――――――――――――――――――</w:t>
      </w:r>
    </w:p>
    <w:p>
      <w:pPr>
        <w:spacing w:before="320" w:after="160"/>
      </w:pPr>
      <w:r>
        <w:rPr>
          <w:b/>
          <w:color w:val="0F2347"/>
          <w:sz w:val="32"/>
        </w:rPr>
        <w:t>14. Institutional-delivery variant rule</w:t>
      </w:r>
    </w:p>
    <w:p>
      <w:pPr>
        <w:spacing w:after="160"/>
      </w:pPr>
      <w:r>
        <w:rPr>
          <w:b w:val="0"/>
          <w:i w:val="0"/>
          <w:color w:val="000000"/>
          <w:sz w:val="21"/>
        </w:rPr>
        <w:t>The same core deck serves universities, alumni associations, graduate programmes, executive education, professional associations, employee and alumni groups, conferences and career-transition communities.</w:t>
      </w:r>
    </w:p>
    <w:p>
      <w:pPr>
        <w:pStyle w:val="ListBullet"/>
        <w:spacing w:after="60"/>
      </w:pPr>
      <w:r>
        <w:rPr>
          <w:color w:val="000000"/>
          <w:sz w:val="19"/>
        </w:rPr>
        <w:t>The deck carries no platform logos, no platform-specific instructions and no purchase mechanics on teaching slides.</w:t>
      </w:r>
    </w:p>
    <w:p>
      <w:pPr>
        <w:pStyle w:val="ListBullet"/>
        <w:spacing w:after="60"/>
      </w:pPr>
      <w:r>
        <w:rPr>
          <w:color w:val="000000"/>
          <w:sz w:val="19"/>
        </w:rPr>
        <w:t>For institutional delivery, skip Slides 29, 30 and 31 and use the hidden INSTITUTIONAL DELIVERY CLOSE instead. The “Where to go deeper” slide those instructions once named no longer exists — it was replaced by the three-slide conversion sequence.</w:t>
      </w:r>
    </w:p>
    <w:p>
      <w:pPr>
        <w:pStyle w:val="ListBullet"/>
        <w:spacing w:after="60"/>
      </w:pPr>
      <w:r>
        <w:rPr>
          <w:color w:val="000000"/>
          <w:sz w:val="19"/>
        </w:rPr>
        <w:t>That close carries no pricing and no product pitch.</w:t>
      </w:r>
    </w:p>
    <w:p>
      <w:pPr>
        <w:pStyle w:val="ListBullet"/>
        <w:spacing w:after="60"/>
      </w:pPr>
      <w:r>
        <w:rPr>
          <w:color w:val="000000"/>
          <w:sz w:val="19"/>
        </w:rPr>
        <w:t>Guest delivery is not automatically free merely because the public flagship is free. Commercial arrangements for institutional delivery are not defined here.</w:t>
      </w:r>
    </w:p>
    <w:p>
      <w:pPr>
        <w:spacing w:before="120" w:after="120"/>
      </w:pPr>
      <w:r>
        <w:rPr>
          <w:color w:val="555555"/>
          <w:sz w:val="16"/>
        </w:rPr>
        <w:t>――――――――――――――――――――――――――――――――――――――――――――――――――――――――――――――――――――――――――――――――――――――――――</w:t>
      </w:r>
    </w:p>
    <w:p>
      <w:pPr>
        <w:spacing w:before="320" w:after="160"/>
      </w:pPr>
      <w:r>
        <w:rPr>
          <w:b/>
          <w:color w:val="0F2347"/>
          <w:sz w:val="32"/>
        </w:rPr>
        <w:t>15. Rehearsal requirements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Rehearsal</w:t>
            </w:r>
          </w:p>
        </w:tc>
        <w:tc>
          <w:tcPr>
            <w:tcW w:type="dxa" w:w="6624"/>
            <w:shd w:val="clear" w:fill="0F2347"/>
          </w:tcPr>
          <w:p>
            <w:r/>
            <w:r>
              <w:rPr>
                <w:b/>
                <w:color w:val="FFFFFF"/>
                <w:sz w:val="19"/>
              </w:rPr>
              <w:t>What it must prove</w:t>
            </w:r>
          </w:p>
        </w:tc>
      </w:tr>
      <w:tr>
        <w:tc>
          <w:tcPr>
            <w:tcW w:type="dxa" w:w="3024"/>
          </w:tcPr>
          <w:p>
            <w:r/>
            <w:r>
              <w:rPr>
                <w:b/>
                <w:sz w:val="19"/>
              </w:rPr>
              <w:t>Rehearsal 1 — content and timing</w:t>
            </w:r>
          </w:p>
        </w:tc>
        <w:tc>
          <w:tcPr>
            <w:tcW w:type="dxa" w:w="6624"/>
          </w:tcPr>
          <w:p>
            <w:r/>
            <w:r>
              <w:rPr>
                <w:sz w:val="19"/>
              </w:rPr>
              <w:t>Full 90 minutes at delivery pace. Confirm the 0–5 open holds, the 30–42 evidence block survives intact, the close lands by 75:00, and Q&amp;A gets its full 15 minutes.</w:t>
            </w:r>
          </w:p>
        </w:tc>
      </w:tr>
      <w:tr>
        <w:tc>
          <w:tcPr>
            <w:tcW w:type="dxa" w:w="3024"/>
          </w:tcPr>
          <w:p>
            <w:r/>
            <w:r>
              <w:rPr>
                <w:b/>
                <w:sz w:val="19"/>
              </w:rPr>
              <w:t>Rehearsal 2 — full production simulation</w:t>
            </w:r>
          </w:p>
        </w:tc>
        <w:tc>
          <w:tcPr>
            <w:tcW w:type="dxa" w:w="6624"/>
          </w:tcPr>
          <w:p>
            <w:r/>
            <w:r>
              <w:rPr>
                <w:sz w:val="19"/>
              </w:rPr>
              <w:t>Recording start and stop, the minute-75 transition, the holding slide, screen share, the anonymous interaction, and the institutional-variant swap.</w:t>
            </w:r>
          </w:p>
        </w:tc>
      </w:tr>
    </w:tbl>
    <w:p>
      <w:pPr>
        <w:spacing w:after="80"/>
      </w:pPr>
    </w:p>
    <w:p>
      <w:pPr>
        <w:spacing w:after="160"/>
      </w:pPr>
      <w:r>
        <w:rPr>
          <w:b/>
          <w:i w:val="0"/>
          <w:color w:val="000000"/>
          <w:sz w:val="19"/>
        </w:rPr>
        <w:t>Both rehearsals are required before September 16. The deck is not promoted from CANDIDATE to FINAL until Rehearsal 1 confirms the timing architecture actually holds.</w:t>
      </w:r>
    </w:p>
    <w:p>
      <w:pPr>
        <w:spacing w:before="120" w:after="120"/>
      </w:pPr>
      <w:r>
        <w:rPr>
          <w:color w:val="555555"/>
          <w:sz w:val="16"/>
        </w:rPr>
        <w:t>――――――――――――――――――――――――――――――――――――――――――――――――――――――――――――――――――――――――――――――――――――――――――</w:t>
      </w:r>
    </w:p>
    <w:p>
      <w:pPr>
        <w:spacing w:before="320" w:after="160"/>
      </w:pPr>
      <w:r>
        <w:rPr>
          <w:b/>
          <w:color w:val="0F2347"/>
          <w:sz w:val="32"/>
        </w:rPr>
        <w:t>16. Participant workbook</w:t>
      </w:r>
    </w:p>
    <w:p>
      <w:pPr>
        <w:spacing w:after="160"/>
      </w:pPr>
      <w:r>
        <w:rPr>
          <w:b w:val="0"/>
          <w:i w:val="0"/>
          <w:color w:val="000000"/>
          <w:sz w:val="21"/>
        </w:rPr>
        <w:t>Capability_Position_Read_FREE_FLAGSHIP_Workbook_v1.2_CANDIDATE is the participant artifact. It is titled a workbook on its cover and in its running header; the deck's speaker notes name it the same way. Eight pages, fillable on screen and usable by hand in print. It is not the Intensive Edition's Complete Session Record and must not be described as one.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Page</w:t>
            </w:r>
          </w:p>
        </w:tc>
        <w:tc>
          <w:tcPr>
            <w:tcW w:type="dxa" w:w="6624"/>
            <w:shd w:val="clear" w:fill="0F2347"/>
          </w:tcPr>
          <w:p>
            <w:r/>
            <w:r>
              <w:rPr>
                <w:b/>
                <w:color w:val="FFFFFF"/>
                <w:sz w:val="19"/>
              </w:rPr>
              <w:t>What the participant does</w:t>
            </w:r>
          </w:p>
        </w:tc>
      </w:tr>
      <w:tr>
        <w:tc>
          <w:tcPr>
            <w:tcW w:type="dxa" w:w="3024"/>
          </w:tcPr>
          <w:p>
            <w:r/>
            <w:r>
              <w:rPr>
                <w:b/>
                <w:sz w:val="19"/>
              </w:rPr>
              <w:t>Page 1</w:t>
            </w:r>
          </w:p>
        </w:tc>
        <w:tc>
          <w:tcPr>
            <w:tcW w:type="dxa" w:w="6624"/>
          </w:tcPr>
          <w:p>
            <w:r/>
            <w:r>
              <w:rPr>
                <w:sz w:val="19"/>
              </w:rPr>
              <w:t>Start here: the ninety-day window, the 1–5 scale, the privacy statement, keep both readings.</w:t>
            </w:r>
          </w:p>
        </w:tc>
      </w:tr>
      <w:tr>
        <w:tc>
          <w:tcPr>
            <w:tcW w:type="dxa" w:w="3024"/>
          </w:tcPr>
          <w:p>
            <w:r/>
            <w:r>
              <w:rPr>
                <w:b/>
                <w:sz w:val="19"/>
              </w:rPr>
              <w:t>Page 2</w:t>
            </w:r>
          </w:p>
        </w:tc>
        <w:tc>
          <w:tcPr>
            <w:tcW w:type="dxa" w:w="6624"/>
          </w:tcPr>
          <w:p>
            <w:r/>
            <w:r>
              <w:rPr>
                <w:sz w:val="19"/>
              </w:rPr>
              <w:t>Initial Density read, statements 1–6, initial total. No evidence lines.</w:t>
            </w:r>
          </w:p>
        </w:tc>
      </w:tr>
      <w:tr>
        <w:tc>
          <w:tcPr>
            <w:tcW w:type="dxa" w:w="3024"/>
          </w:tcPr>
          <w:p>
            <w:r/>
            <w:r>
              <w:rPr>
                <w:b/>
                <w:sz w:val="19"/>
              </w:rPr>
              <w:t>Page 3</w:t>
            </w:r>
          </w:p>
        </w:tc>
        <w:tc>
          <w:tcPr>
            <w:tcW w:type="dxa" w:w="6624"/>
          </w:tcPr>
          <w:p>
            <w:r/>
            <w:r>
              <w:rPr>
                <w:sz w:val="19"/>
              </w:rPr>
              <w:t>Initial Optionality read, statements 7–12, initial total, initial position, initial confidence 1–5.</w:t>
            </w:r>
          </w:p>
        </w:tc>
      </w:tr>
      <w:tr>
        <w:tc>
          <w:tcPr>
            <w:tcW w:type="dxa" w:w="3024"/>
          </w:tcPr>
          <w:p>
            <w:r/>
            <w:r>
              <w:rPr>
                <w:b/>
                <w:sz w:val="19"/>
              </w:rPr>
              <w:t>Page 4</w:t>
            </w:r>
          </w:p>
        </w:tc>
        <w:tc>
          <w:tcPr>
            <w:tcW w:type="dxa" w:w="6624"/>
          </w:tcPr>
          <w:p>
            <w:r/>
            <w:r>
              <w:rPr>
                <w:sz w:val="19"/>
              </w:rPr>
              <w:t>The evidence protocol, the ? convention, and what marked items do to an axis.</w:t>
            </w:r>
          </w:p>
        </w:tc>
      </w:tr>
      <w:tr>
        <w:tc>
          <w:tcPr>
            <w:tcW w:type="dxa" w:w="3024"/>
          </w:tcPr>
          <w:p>
            <w:r/>
            <w:r>
              <w:rPr>
                <w:b/>
                <w:sz w:val="19"/>
              </w:rPr>
              <w:t>Page 5</w:t>
            </w:r>
          </w:p>
        </w:tc>
        <w:tc>
          <w:tcPr>
            <w:tcW w:type="dxa" w:w="6624"/>
          </w:tcPr>
          <w:p>
            <w:r/>
            <w:r>
              <w:rPr>
                <w:sz w:val="19"/>
              </w:rPr>
              <w:t>Evidence-backed Density read: corrected scores and evidence phrases. A corrected score box accepts 1 to 5, optionally marked once as 3?. A bare question mark is rejected.</w:t>
            </w:r>
          </w:p>
        </w:tc>
      </w:tr>
      <w:tr>
        <w:tc>
          <w:tcPr>
            <w:tcW w:type="dxa" w:w="3024"/>
          </w:tcPr>
          <w:p>
            <w:r/>
            <w:r>
              <w:rPr>
                <w:b/>
                <w:sz w:val="19"/>
              </w:rPr>
              <w:t>Page 6</w:t>
            </w:r>
          </w:p>
        </w:tc>
        <w:tc>
          <w:tcPr>
            <w:tcW w:type="dxa" w:w="6624"/>
          </w:tcPr>
          <w:p>
            <w:r/>
            <w:r>
              <w:rPr>
                <w:sz w:val="19"/>
              </w:rPr>
              <w:t>Evidence-backed Optionality read: corrected scores and evidence phrases.</w:t>
            </w:r>
          </w:p>
        </w:tc>
      </w:tr>
      <w:tr>
        <w:tc>
          <w:tcPr>
            <w:tcW w:type="dxa" w:w="3024"/>
          </w:tcPr>
          <w:p>
            <w:r/>
            <w:r>
              <w:rPr>
                <w:b/>
                <w:sz w:val="19"/>
              </w:rPr>
              <w:t>Page 7</w:t>
            </w:r>
          </w:p>
        </w:tc>
        <w:tc>
          <w:tcPr>
            <w:tcW w:type="dxa" w:w="6624"/>
          </w:tcPr>
          <w:p>
            <w:r/>
            <w:r>
              <w:rPr>
                <w:sz w:val="19"/>
              </w:rPr>
              <w:t>The matrix, question-mark status, the sensitivity check, final reading, corrected confidence 1–5.</w:t>
            </w:r>
          </w:p>
        </w:tc>
      </w:tr>
      <w:tr>
        <w:tc>
          <w:tcPr>
            <w:tcW w:type="dxa" w:w="3024"/>
          </w:tcPr>
          <w:p>
            <w:r/>
            <w:r>
              <w:rPr>
                <w:b/>
                <w:sz w:val="19"/>
              </w:rPr>
              <w:t>Page 8</w:t>
            </w:r>
          </w:p>
        </w:tc>
        <w:tc>
          <w:tcPr>
            <w:tcW w:type="dxa" w:w="6624"/>
          </w:tcPr>
          <w:p>
            <w:r/>
            <w:r>
              <w:rPr>
                <w:sz w:val="19"/>
              </w:rPr>
              <w:t>The Next-Move Note, the seven move categories, the rescore date.</w:t>
            </w:r>
          </w:p>
        </w:tc>
      </w:tr>
    </w:tbl>
    <w:p>
      <w:pPr>
        <w:spacing w:after="80"/>
      </w:pPr>
    </w:p>
    <w:p>
      <w:pPr>
        <w:spacing w:after="160"/>
      </w:pPr>
      <w:r>
        <w:rPr>
          <w:b w:val="0"/>
          <w:i w:val="0"/>
          <w:color w:val="000000"/>
          <w:sz w:val="19"/>
        </w:rPr>
        <w:t>The workbook collects nothing and submits nothing. It contains no purchase link, no pricing, no coupon and no institutional enquiry. It is a participant artifact, not a brochure. Every deck slide that asks for a participant action names its workbook page in the speaker notes.</w:t>
      </w:r>
    </w:p>
    <w:p>
      <w:pPr>
        <w:spacing w:before="120" w:after="120"/>
      </w:pPr>
      <w:r>
        <w:rPr>
          <w:color w:val="555555"/>
          <w:sz w:val="16"/>
        </w:rPr>
        <w:t>――――――――――――――――――――――――――――――――――――――――――――――――――――――――――――――――――――――――――――――――――――――――――</w:t>
      </w:r>
    </w:p>
    <w:p>
      <w:pPr>
        <w:spacing w:before="320" w:after="160"/>
      </w:pPr>
      <w:r>
        <w:rPr>
          <w:b/>
          <w:color w:val="0F2347"/>
          <w:sz w:val="32"/>
        </w:rPr>
        <w:t>17. Source-of-truth map</w:t>
      </w:r>
    </w:p>
    <w:p>
      <w:pPr>
        <w:pStyle w:val="ListBullet"/>
        <w:spacing w:after="60"/>
      </w:pPr>
      <w:r>
        <w:rPr>
          <w:color w:val="000000"/>
          <w:sz w:val="19"/>
        </w:rPr>
        <w:t>Governing deck: Decide_Whether_to_Stay_or_Leave_Your_Job_FREE_FLAGSHIP_v1.3_CANDIDATE.pptx — 39 slides, 33 live, 6 hidden</w:t>
      </w:r>
    </w:p>
    <w:p>
      <w:pPr>
        <w:pStyle w:val="ListBullet"/>
        <w:spacing w:after="60"/>
      </w:pPr>
      <w:r>
        <w:rPr>
          <w:color w:val="000000"/>
          <w:sz w:val="19"/>
        </w:rPr>
        <w:t>Governing architecture, READ-ONLY and not edited by this SOP family: Capability_Formation_Individual_Offer_Architecture_v1.1.docx</w:t>
      </w:r>
    </w:p>
    <w:p>
      <w:pPr>
        <w:pStyle w:val="ListBullet"/>
        <w:spacing w:after="60"/>
      </w:pPr>
      <w:r>
        <w:rPr>
          <w:color w:val="000000"/>
          <w:sz w:val="19"/>
        </w:rPr>
        <w:t>Participant workbook: Capability_Position_Read_FREE_FLAGSHIP_Workbook_v1.2_CANDIDATE.pdf</w:t>
      </w:r>
    </w:p>
    <w:p>
      <w:pPr>
        <w:pStyle w:val="ListBullet"/>
        <w:spacing w:after="60"/>
      </w:pPr>
      <w:r>
        <w:rPr>
          <w:color w:val="000000"/>
          <w:sz w:val="19"/>
        </w:rPr>
        <w:t>Instrument source (unchanged, not edited): Decide_Whether_to_Stay_or_Leave_Your_Job_WORKSHOP_DECK_v5.3.1_FINAL.pptx — the Intensive / Small-Room Edition</w:t>
      </w:r>
    </w:p>
    <w:p>
      <w:pPr>
        <w:pStyle w:val="ListBullet"/>
        <w:spacing w:after="60"/>
      </w:pPr>
      <w:r>
        <w:rPr>
          <w:color w:val="000000"/>
          <w:sz w:val="19"/>
        </w:rPr>
        <w:t>Level 1 feeder (unchanged, not edited): How_to_Tell_If_Your_Career_Is_Stalling_Lightning_Lesson_v3.3.2 decks</w:t>
      </w:r>
    </w:p>
    <w:p>
      <w:pPr>
        <w:pStyle w:val="ListBullet"/>
        <w:spacing w:after="60"/>
      </w:pPr>
      <w:r>
        <w:rPr>
          <w:color w:val="000000"/>
          <w:sz w:val="19"/>
        </w:rPr>
        <w:t>This SOP is standalone. It does not patch, and is not governed by, the paid workshop Launch SOP family.</w:t>
      </w:r>
    </w:p>
    <w:p>
      <w:pPr>
        <w:spacing w:before="120" w:after="120"/>
      </w:pPr>
      <w:r>
        <w:rPr>
          <w:color w:val="555555"/>
          <w:sz w:val="16"/>
        </w:rPr>
        <w:t>――――――――――――――――――――――――――――――――――――――――――――――――――――――――――――――――――――――――――――――――――――――――――</w:t>
      </w:r>
    </w:p>
    <w:p>
      <w:pPr>
        <w:spacing w:before="320" w:after="160"/>
      </w:pPr>
      <w:r>
        <w:rPr>
          <w:b/>
          <w:color w:val="0F2347"/>
          <w:sz w:val="32"/>
        </w:rPr>
        <w:t>18. What remains intentionally unbuilt</w:t>
      </w:r>
    </w:p>
    <w:p>
      <w:pPr>
        <w:spacing w:after="160"/>
      </w:pPr>
      <w:r>
        <w:rPr>
          <w:b w:val="0"/>
          <w:i w:val="0"/>
          <w:color w:val="000000"/>
          <w:sz w:val="19"/>
        </w:rPr>
        <w:t>Named here so nobody assumes it exists:</w:t>
      </w:r>
    </w:p>
    <w:p>
      <w:pPr>
        <w:pStyle w:val="ListBullet"/>
        <w:spacing w:after="60"/>
      </w:pPr>
      <w:r>
        <w:rPr>
          <w:color w:val="000000"/>
          <w:sz w:val="19"/>
        </w:rPr>
        <w:t>Private Capability Position Read materials, booking flow, pricing page and fulfillment.</w:t>
      </w:r>
    </w:p>
    <w:p>
      <w:pPr>
        <w:pStyle w:val="ListBullet"/>
        <w:spacing w:after="60"/>
      </w:pPr>
      <w:r>
        <w:rPr>
          <w:color w:val="000000"/>
          <w:sz w:val="19"/>
        </w:rPr>
        <w:t>Maven page copy and platform configuration for the flagship.</w:t>
      </w:r>
    </w:p>
    <w:p>
      <w:pPr>
        <w:pStyle w:val="ListBullet"/>
        <w:spacing w:after="60"/>
      </w:pPr>
      <w:r>
        <w:rPr>
          <w:color w:val="000000"/>
          <w:sz w:val="19"/>
        </w:rPr>
        <w:t>Email, post-session and replay sequences.</w:t>
      </w:r>
    </w:p>
    <w:p>
      <w:pPr>
        <w:pStyle w:val="ListBullet"/>
        <w:spacing w:after="60"/>
      </w:pPr>
      <w:r>
        <w:rPr>
          <w:color w:val="000000"/>
          <w:sz w:val="19"/>
        </w:rPr>
        <w:t>School outreach materials, proposals and institutional pricing.</w:t>
      </w:r>
    </w:p>
    <w:p>
      <w:pPr>
        <w:pStyle w:val="ListBullet"/>
        <w:spacing w:after="60"/>
      </w:pPr>
      <w:r>
        <w:rPr>
          <w:color w:val="000000"/>
          <w:sz w:val="19"/>
        </w:rPr>
        <w:t>Any Field Kit, Gumroad, Phase 2A, Phase 2B or Phase 2C revision.</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FREE FLAGSHIP SOP v1.3 CANDIDATE  ·  INTERNAL ONLY  ·  Revised: Friday, August 14, 2026, 12:53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