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r>
              <w:rPr>
                <w:b/>
                <w:color w:val="FFFFFF"/>
                <w:sz w:val="19"/>
              </w:rPr>
              <w:t>INTERNAL OPERATIONS — NOT PARTICIPANT-FACING</w:t>
            </w:r>
          </w:p>
          <w:p>
            <w:r>
              <w:rPr>
                <w:b/>
                <w:color w:val="FFFFFF"/>
                <w:sz w:val="40"/>
              </w:rPr>
              <w:t>Free Flagship Source-Control QA Report</w:t>
            </w:r>
          </w:p>
          <w:p>
            <w:r>
              <w:rPr>
                <w:i/>
                <w:color w:val="E3D9C4"/>
                <w:sz w:val="22"/>
              </w:rPr>
              <w:t>24 verifications  ·  Revised: Friday, August 14, 2026, 12:55 PM Central Time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000000"/>
          <w:sz w:val="19"/>
        </w:rPr>
        <w:t>A narrow source-control pass. No teaching content, scoring method, timing architecture, conversion sequence, pricing strategy or institutional architecture was reopened. Every item below was executed against the reissued files.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What was reissued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192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What changed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Architecture v1.0 → v1.1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Private Read priced at exactly $500; the ladder now names the approved organizing concept, Choose How You Want to Continue the Read. Nothing else rewritten. v1.0 preserved.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SOP v1.2 → v1.3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Evergreen replay in Sections 5 and 6 including the participant-facing disclosure script; Section 14 institutional rule corrected to Slides 29–31; source map repointed at Architecture v1.1, deck v1.3 and Workbook v1.2.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Worksheet v1.1 → Workbook v1.2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Renamed to Workbook on the cover, in the running header and throughout the body copy. Page-7 matrix restyled. Source docstring version label corrected — it still said v1.0 while the file header said v1.1.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Deck v1.2 → v1.3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Fifteen speaker-note references changed from WORKSHEET PAGE to WORKBOOK PAGE. Not a content change: every slide FACE is character-identical to v1.2.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Timing sheet v1.1 → v1.2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duplicated list numbering was a real defect, not an extraction artifact. Recovery order unchanged.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Verification — 24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61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9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893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587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Architecture now says exactly $500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The ladder entry reads “$500.” and the document states the source of truth outright: Field Kit exactly $150, Private Capability Position Read exactly $500.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No active “starting at $500” remains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All three stale forms are gone. The only “$500+” in the file is inside the source-of-truth line that forbids it.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Architecture reissued as v1.1, v1.0 preserved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v1.1 carries the version in its band and footer. v1.0 is hash-identical to the copy committed before this pass and was not rewritten.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Approved organizing concept incorporated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The ladder now names the choice step and states that people who leave with only their Next-Move Note are a successful outcome, not a leak.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SOP uses evergreen replay where that is the meaning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Sections 5 and 6 corrected, including the participant-facing EARLY DISCLOSURE script. The raw-file rule now says distributed asset rather than published asset.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Later public distribution preserved as a possible strategy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Section 12 keeps both: registration-gated evergreen replay is the initial preferred model; unrestricted public distribution remains available as a later choice.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Q&amp;A exclusion rule unchanged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Participant Q&amp;A is still excluded from every distributed replay model. Untouched.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SOP institutional rule references Slides 29–31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Section 14 now gives the governing instruction and records that the slide the old instruction named no longer exists.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Institutional constraints preserved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No pricing, no Field Kit pitch, no Private Read pitch, no product CTA, and institutional delivery is still not automatically free.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SOP source map points to Architecture v1.1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v1.0 is no longer named as the active governing architecture anywhere in the SOP.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SOP source map points to the current deck and workbook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Both references updated in the same pass, so the map is internally consistent.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Workbook source identifies itself correctly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The module docstring said “Worksheet v1.0 CANDIDATE” while the file header said v1.1. Both now read v1.2 and both say Workbook.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Timing sheet numbering duplication corrected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It was a real defect, not an extraction artifact: numbered() applies Word's List Number style, which supplies the digit, and the text supplied one too, rendering “1. 1.”. The digits were removed from the text.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Recovery order unchanged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All four steps in the same order as v1.1.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Workbook is titled a workbook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Cover subtitle, running header and body copy all say workbook. No occurrence of worksheet remains in the eight pages.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Deck speaker notes name the workbook, not a worksheet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All 15 stale references updated, so the facilitator notes and the handout agree.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Matrix: three states share one fill, Compounding is distinguished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Depth Trap, Stagnant and Fragile are uniform pale blue. Compounding is navy with a gold label, carrying a structural caption rather than a value claim.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Distinguishing Compounding did not introduce a target-state claim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The caption states a fact about the axes. State-is-not-identity stays directly beneath the matrix. No language implies a square to aim for.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No teaching slide content changed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Every slide FACE in v1.3 is character-identical to v1.2. Only speaker notes changed.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No workbook content changed beyond the rename and the matrix fill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All 68 fields present with identical names. No field was added, removed or renamed, so scoring behaviour is untouched.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No timing changed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Every timing marker identical to v1.2.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No conversion-slide content changed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Slides 29, 30 and 31 are byte-identical on their faces, per the face-comparison check.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No prices added to recorded slide faces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Not one currency symbol on any of the 39 faces.</w:t>
            </w:r>
          </w:p>
        </w:tc>
      </w:tr>
      <w:tr>
        <w:tc>
          <w:tcPr>
            <w:tcW w:type="dxa" w:w="461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139"/>
          </w:tcPr>
          <w:p>
            <w:r/>
            <w:r>
              <w:rPr>
                <w:sz w:val="18"/>
              </w:rPr>
              <w:t>v5.3.1 and the Field Kit remain untouched</w:t>
            </w:r>
          </w:p>
        </w:tc>
        <w:tc>
          <w:tcPr>
            <w:tcW w:type="dxa" w:w="893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PASS</w:t>
            </w:r>
          </w:p>
        </w:tc>
        <w:tc>
          <w:tcPr>
            <w:tcW w:type="dxa" w:w="5587"/>
          </w:tcPr>
          <w:p>
            <w:r/>
            <w:r>
              <w:rPr>
                <w:sz w:val="17"/>
              </w:rPr>
              <w:t>Both hash-verified against their recorded values.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The one design decision in this pass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The page-7 matrix previously alternated pale blue and white in a checkerboard, which carried no meaning. The three states now share one pale-blue fill and Compounding is set apart in navy with a gold label.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Navy was chosen over rust deliberately. Rust is this system's caution accent — it is the 3+ INCOMPLETE chip and the no-square-prescribes-a-category line. On Compounding it would read as a warning on the strongest position. Navy is already the emphasis colour in both artifacts, so it distinguishes hardest without introducing a new colour or a new meaning.</w:t>
      </w:r>
    </w:p>
    <w:p>
      <w:pPr>
        <w:spacing w:after="160"/>
      </w:pPr>
      <w:r>
        <w:rPr>
          <w:b w:val="0"/>
          <w:i/>
          <w:color w:val="555555"/>
          <w:sz w:val="18"/>
        </w:rPr>
        <w:t>METHOD CAUTION, RECORDED: singling out any square risks implying a target state, which sits against the non-validation boundary and state-is-not-identity. The mitigation is that the caption states a structural fact — it is the one square where both axes are high — and State is not identity remains directly beneath the matrix. The QA confirms no “best”, “goal” or “aim” language entered the page.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Not promoted to FINAL</w:t>
      </w:r>
    </w:p>
    <w:p>
      <w:pPr>
        <w:spacing w:after="160"/>
      </w:pPr>
      <w:r>
        <w:rPr>
          <w:b/>
          <w:i w:val="0"/>
          <w:color w:val="B00000"/>
          <w:sz w:val="20"/>
        </w:rPr>
        <w:t>The flagship family remains CANDIDATE. FINAL still requires all three:</w:t>
      </w:r>
    </w:p>
    <w:p>
      <w:pPr>
        <w:pStyle w:val="ListBullet"/>
        <w:spacing w:after="60"/>
      </w:pPr>
      <w:r>
        <w:rPr>
          <w:color w:val="000000"/>
          <w:sz w:val="19"/>
        </w:rPr>
        <w:t>Workbook behaviour test in Acrobat or Preview — a bare question mark refused, 3? accepted, totals both calculating and typeable.</w:t>
      </w:r>
    </w:p>
    <w:p>
      <w:pPr>
        <w:pStyle w:val="ListBullet"/>
        <w:spacing w:after="60"/>
      </w:pPr>
      <w:r>
        <w:rPr>
          <w:color w:val="000000"/>
          <w:sz w:val="19"/>
        </w:rPr>
        <w:t>Rehearsal 1, recorded on the timing sheet.</w:t>
      </w:r>
    </w:p>
    <w:p>
      <w:pPr>
        <w:pStyle w:val="ListBullet"/>
        <w:spacing w:after="60"/>
      </w:pPr>
      <w:r>
        <w:rPr>
          <w:color w:val="000000"/>
          <w:sz w:val="19"/>
        </w:rPr>
        <w:t>Rehearsal 2, recorded on the timing sheet.</w:t>
      </w:r>
    </w:p>
    <w:p>
      <w:pPr>
        <w:spacing w:after="160"/>
      </w:pPr>
      <w:r>
        <w:rPr>
          <w:b w:val="0"/>
          <w:i/>
          <w:color w:val="555555"/>
          <w:sz w:val="18"/>
        </w:rPr>
        <w:t>The deck still has not been rendered. LibreOffice remains non-functional in this environment, so no slide was converted or visually inspected in this pass. Since every slide face is character-identical to v1.2, the visual risk introduced here is zero, but the outstanding v1.2 visual review still applies.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FREE FLAGSHIP — SOURCE-CONTROL QA REPORT  ·  INTERNAL ONLY  ·  Revised: Friday, August 14, 2026, 12:55 PM Central Time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