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Rehearsal Timing Sheet</w:t>
            </w:r>
          </w:p>
          <w:p>
            <w:r>
              <w:rPr>
                <w:i/>
                <w:color w:val="E3D9C4"/>
                <w:sz w:val="22"/>
              </w:rPr>
              <w:t>v1.0  ·  Decide Whether to Stay or Leave Your Job  ·  Revised: Friday, August 14, 2026, 11:45 AM Central Time</w:t>
            </w:r>
          </w:p>
        </w:tc>
      </w:tr>
    </w:tbl>
    <w:p>
      <w:pPr>
        <w:spacing w:after="80"/>
      </w:pPr>
    </w:p>
    <w:p>
      <w:pPr>
        <w:spacing w:after="160"/>
      </w:pPr>
      <w:r>
        <w:rPr>
          <w:b/>
          <w:color w:val="B00000"/>
          <w:sz w:val="20"/>
        </w:rPr>
        <w:t xml:space="preserve">THIS SHEET IS A TOOL, NOT A RESULT —  </w:t>
      </w:r>
      <w:r>
        <w:rPr>
          <w:color w:val="000000"/>
          <w:sz w:val="20"/>
        </w:rPr>
        <w:t>no rehearsal has been run. Every Actual and Variance cell below is deliberately empty because nothing has been timed. Do not read the Target column as evidence that the design fits in 90 minutes. Establishing that is exactly what the rehearsal is for.</w:t>
      </w:r>
    </w:p>
    <w:p>
      <w:pPr>
        <w:spacing w:before="120" w:after="120"/>
      </w:pPr>
      <w:r>
        <w:rPr>
          <w:color w:val="555555"/>
          <w:sz w:val="16"/>
        </w:rPr>
        <w:t>――――――――――――――――――――――――――――――――――――――――――――――――――――――――――――――――――――――――――――――――――――――――――</w:t>
      </w:r>
    </w:p>
    <w:p>
      <w:pPr>
        <w:spacing w:before="320" w:after="160"/>
      </w:pPr>
      <w:r>
        <w:rPr>
          <w:b/>
          <w:color w:val="0F2347"/>
          <w:sz w:val="32"/>
        </w:rPr>
        <w:t>How to use it</w:t>
      </w:r>
    </w:p>
    <w:p>
      <w:pPr>
        <w:pStyle w:val="ListBullet"/>
        <w:spacing w:after="60"/>
      </w:pPr>
      <w:r>
        <w:rPr>
          <w:color w:val="000000"/>
          <w:sz w:val="19"/>
        </w:rPr>
        <w:t>Run the full sequence twice, alone, with a timer and the real deck.</w:t>
      </w:r>
    </w:p>
    <w:p>
      <w:pPr>
        <w:pStyle w:val="ListBullet"/>
        <w:spacing w:after="60"/>
      </w:pPr>
      <w:r>
        <w:rPr>
          <w:color w:val="000000"/>
          <w:sz w:val="19"/>
        </w:rPr>
        <w:t>Record the clock time at which you actually LEAVE each block, not how long it felt.</w:t>
      </w:r>
    </w:p>
    <w:p>
      <w:pPr>
        <w:pStyle w:val="ListBullet"/>
        <w:spacing w:after="60"/>
      </w:pPr>
      <w:r>
        <w:rPr>
          <w:color w:val="000000"/>
          <w:sz w:val="19"/>
        </w:rPr>
        <w:t>Write variance as a signed number of minutes: −2, +3.</w:t>
      </w:r>
    </w:p>
    <w:p>
      <w:pPr>
        <w:pStyle w:val="ListBullet"/>
        <w:spacing w:after="60"/>
      </w:pPr>
      <w:r>
        <w:rPr>
          <w:color w:val="000000"/>
          <w:sz w:val="19"/>
        </w:rPr>
        <w:t>Note the defect, not the feeling: which slide ran long, which instruction had to be repeated, where the sequence lost its thread.</w:t>
      </w:r>
    </w:p>
    <w:p>
      <w:pPr>
        <w:pStyle w:val="ListBullet"/>
        <w:spacing w:after="60"/>
      </w:pPr>
      <w:r>
        <w:rPr>
          <w:color w:val="000000"/>
          <w:sz w:val="19"/>
        </w:rPr>
        <w:t>The 30–42 evidence block is the one to watch. Twelve minutes for twelve evidence-backed re-scores is the least tested assumption in this design.</w:t>
      </w:r>
    </w:p>
    <w:p>
      <w:pPr>
        <w:spacing w:before="120" w:after="120"/>
      </w:pPr>
      <w:r>
        <w:rPr>
          <w:color w:val="555555"/>
          <w:sz w:val="16"/>
        </w:rPr>
        <w:t>――――――――――――――――――――――――――――――――――――――――――――――――――――――――――――――――――――――――――――――――――――――――――</w:t>
      </w:r>
    </w:p>
    <w:p>
      <w:pPr>
        <w:spacing w:before="320" w:after="160"/>
      </w:pPr>
      <w:r>
        <w:rPr>
          <w:b/>
          <w:color w:val="0F2347"/>
          <w:sz w:val="32"/>
        </w:rPr>
        <w:t>Block-by-block timing</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864"/>
            <w:shd w:val="clear" w:fill="0F2347"/>
          </w:tcPr>
          <w:p>
            <w:r/>
            <w:r>
              <w:rPr>
                <w:b/>
                <w:color w:val="FFFFFF"/>
                <w:sz w:val="16"/>
              </w:rPr>
              <w:t>Target</w:t>
            </w:r>
          </w:p>
        </w:tc>
        <w:tc>
          <w:tcPr>
            <w:tcW w:type="dxa" w:w="2880"/>
            <w:shd w:val="clear" w:fill="0F2347"/>
          </w:tcPr>
          <w:p>
            <w:r/>
            <w:r>
              <w:rPr>
                <w:b/>
                <w:color w:val="FFFFFF"/>
                <w:sz w:val="16"/>
              </w:rPr>
              <w:t>Block</w:t>
            </w:r>
          </w:p>
        </w:tc>
        <w:tc>
          <w:tcPr>
            <w:tcW w:type="dxa" w:w="1037"/>
            <w:shd w:val="clear" w:fill="0F2347"/>
          </w:tcPr>
          <w:p>
            <w:r/>
            <w:r>
              <w:rPr>
                <w:b/>
                <w:color w:val="FFFFFF"/>
                <w:sz w:val="16"/>
              </w:rPr>
              <w:t>Reh. 1</w:t>
            </w:r>
          </w:p>
        </w:tc>
        <w:tc>
          <w:tcPr>
            <w:tcW w:type="dxa" w:w="662"/>
            <w:shd w:val="clear" w:fill="0F2347"/>
          </w:tcPr>
          <w:p>
            <w:r/>
            <w:r>
              <w:rPr>
                <w:b/>
                <w:color w:val="FFFFFF"/>
                <w:sz w:val="16"/>
              </w:rPr>
              <w:t>Var.</w:t>
            </w:r>
          </w:p>
        </w:tc>
        <w:tc>
          <w:tcPr>
            <w:tcW w:type="dxa" w:w="1037"/>
            <w:shd w:val="clear" w:fill="0F2347"/>
          </w:tcPr>
          <w:p>
            <w:r/>
            <w:r>
              <w:rPr>
                <w:b/>
                <w:color w:val="FFFFFF"/>
                <w:sz w:val="16"/>
              </w:rPr>
              <w:t>Reh. 2</w:t>
            </w:r>
          </w:p>
        </w:tc>
        <w:tc>
          <w:tcPr>
            <w:tcW w:type="dxa" w:w="662"/>
            <w:shd w:val="clear" w:fill="0F2347"/>
          </w:tcPr>
          <w:p>
            <w:r/>
            <w:r>
              <w:rPr>
                <w:b/>
                <w:color w:val="FFFFFF"/>
                <w:sz w:val="16"/>
              </w:rPr>
              <w:t>Var.</w:t>
            </w:r>
          </w:p>
        </w:tc>
        <w:tc>
          <w:tcPr>
            <w:tcW w:type="dxa" w:w="2938"/>
            <w:shd w:val="clear" w:fill="0F2347"/>
          </w:tcPr>
          <w:p>
            <w:r/>
            <w:r>
              <w:rPr>
                <w:b/>
                <w:color w:val="FFFFFF"/>
                <w:sz w:val="16"/>
              </w:rPr>
              <w:t>Notes / defect</w:t>
            </w:r>
          </w:p>
        </w:tc>
      </w:tr>
      <w:tr>
        <w:tc>
          <w:tcPr>
            <w:tcW w:type="dxa" w:w="864"/>
          </w:tcPr>
          <w:p>
            <w:r/>
            <w:r>
              <w:rPr>
                <w:b/>
                <w:sz w:val="16"/>
              </w:rPr>
              <w:t>0–5</w:t>
            </w:r>
          </w:p>
        </w:tc>
        <w:tc>
          <w:tcPr>
            <w:tcW w:type="dxa" w:w="2880"/>
          </w:tcPr>
          <w:p>
            <w:r/>
            <w:r>
              <w:rPr>
                <w:sz w:val="16"/>
              </w:rPr>
              <w:t>Open, vantage, boundary, privacy, worksheet</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5–9</w:t>
            </w:r>
          </w:p>
        </w:tc>
        <w:tc>
          <w:tcPr>
            <w:tcW w:type="dxa" w:w="2880"/>
          </w:tcPr>
          <w:p>
            <w:r/>
            <w:r>
              <w:rPr>
                <w:sz w:val="16"/>
              </w:rPr>
              <w:t>Density and Optionality defined</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9–17</w:t>
            </w:r>
          </w:p>
        </w:tc>
        <w:tc>
          <w:tcPr>
            <w:tcW w:type="dxa" w:w="2880"/>
          </w:tcPr>
          <w:p>
            <w:r/>
            <w:r>
              <w:rPr>
                <w:sz w:val="16"/>
              </w:rPr>
              <w:t>Initial read, statements 1–12, both totals</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17–20</w:t>
            </w:r>
          </w:p>
        </w:tc>
        <w:tc>
          <w:tcPr>
            <w:tcW w:type="dxa" w:w="2880"/>
          </w:tcPr>
          <w:p>
            <w:r/>
            <w:r>
              <w:rPr>
                <w:sz w:val="16"/>
              </w:rPr>
              <w:t>The four states, before placement</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20–30</w:t>
            </w:r>
          </w:p>
        </w:tc>
        <w:tc>
          <w:tcPr>
            <w:tcW w:type="dxa" w:w="2880"/>
          </w:tcPr>
          <w:p>
            <w:r/>
            <w:r>
              <w:rPr>
                <w:sz w:val="16"/>
              </w:rPr>
              <w:t>Evidence protocol and the three misreadings</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30–42</w:t>
            </w:r>
          </w:p>
        </w:tc>
        <w:tc>
          <w:tcPr>
            <w:tcW w:type="dxa" w:w="2880"/>
          </w:tcPr>
          <w:p>
            <w:r/>
            <w:r>
              <w:rPr>
                <w:sz w:val="16"/>
              </w:rPr>
              <w:t>Evidence-backed second read — TWELVE MINUTES, PROTECTED</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42–48</w:t>
            </w:r>
          </w:p>
        </w:tc>
        <w:tc>
          <w:tcPr>
            <w:tcW w:type="dxa" w:w="2880"/>
          </w:tcPr>
          <w:p>
            <w:r/>
            <w:r>
              <w:rPr>
                <w:sz w:val="16"/>
              </w:rPr>
              <w:t>Re-total, sensitivity check, corrected position</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48–52</w:t>
            </w:r>
          </w:p>
        </w:tc>
        <w:tc>
          <w:tcPr>
            <w:tcW w:type="dxa" w:w="2880"/>
          </w:tcPr>
          <w:p>
            <w:r/>
            <w:r>
              <w:rPr>
                <w:sz w:val="16"/>
              </w:rPr>
              <w:t>What moved — anonymous, OPTIONAL</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52–57</w:t>
            </w:r>
          </w:p>
        </w:tc>
        <w:tc>
          <w:tcPr>
            <w:tcW w:type="dxa" w:w="2880"/>
          </w:tcPr>
          <w:p>
            <w:r/>
            <w:r>
              <w:rPr>
                <w:sz w:val="16"/>
              </w:rPr>
              <w:t>State costs</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57–62</w:t>
            </w:r>
          </w:p>
        </w:tc>
        <w:tc>
          <w:tcPr>
            <w:tcW w:type="dxa" w:w="2880"/>
          </w:tcPr>
          <w:p>
            <w:r/>
            <w:r>
              <w:rPr>
                <w:sz w:val="16"/>
              </w:rPr>
              <w:t>Seven move categories</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62–68</w:t>
            </w:r>
          </w:p>
        </w:tc>
        <w:tc>
          <w:tcPr>
            <w:tcW w:type="dxa" w:w="2880"/>
          </w:tcPr>
          <w:p>
            <w:r/>
            <w:r>
              <w:rPr>
                <w:sz w:val="16"/>
              </w:rPr>
              <w:t>The Next-Move Note</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68–72</w:t>
            </w:r>
          </w:p>
        </w:tc>
        <w:tc>
          <w:tcPr>
            <w:tcW w:type="dxa" w:w="2880"/>
          </w:tcPr>
          <w:p>
            <w:r/>
            <w:r>
              <w:rPr>
                <w:sz w:val="16"/>
              </w:rPr>
              <w:t>Where to go deeper</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72–75</w:t>
            </w:r>
          </w:p>
        </w:tc>
        <w:tc>
          <w:tcPr>
            <w:tcW w:type="dxa" w:w="2880"/>
          </w:tcPr>
          <w:p>
            <w:r/>
            <w:r>
              <w:rPr>
                <w:sz w:val="16"/>
              </w:rPr>
              <w:t>Evergreen close  ·  RECORDING STOPS AT 75</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r>
        <w:tc>
          <w:tcPr>
            <w:tcW w:type="dxa" w:w="864"/>
          </w:tcPr>
          <w:p>
            <w:r/>
            <w:r>
              <w:rPr>
                <w:b/>
                <w:sz w:val="16"/>
              </w:rPr>
              <w:t>75–90</w:t>
            </w:r>
          </w:p>
        </w:tc>
        <w:tc>
          <w:tcPr>
            <w:tcW w:type="dxa" w:w="2880"/>
          </w:tcPr>
          <w:p>
            <w:r/>
            <w:r>
              <w:rPr>
                <w:sz w:val="16"/>
              </w:rPr>
              <w:t>Questions &amp; Applications — live only, never recorded</w:t>
            </w:r>
          </w:p>
        </w:tc>
        <w:tc>
          <w:tcPr>
            <w:tcW w:type="dxa" w:w="1037"/>
          </w:tcPr>
          <w:p>
            <w:r/>
            <w:r>
              <w:rPr>
                <w:sz w:val="16"/>
              </w:rPr>
            </w:r>
          </w:p>
        </w:tc>
        <w:tc>
          <w:tcPr>
            <w:tcW w:type="dxa" w:w="662"/>
          </w:tcPr>
          <w:p>
            <w:r/>
            <w:r>
              <w:rPr>
                <w:sz w:val="16"/>
              </w:rPr>
            </w:r>
          </w:p>
        </w:tc>
        <w:tc>
          <w:tcPr>
            <w:tcW w:type="dxa" w:w="1037"/>
          </w:tcPr>
          <w:p>
            <w:r/>
            <w:r>
              <w:rPr>
                <w:sz w:val="16"/>
              </w:rPr>
            </w:r>
          </w:p>
        </w:tc>
        <w:tc>
          <w:tcPr>
            <w:tcW w:type="dxa" w:w="662"/>
          </w:tcPr>
          <w:p>
            <w:r/>
            <w:r>
              <w:rPr>
                <w:sz w:val="16"/>
              </w:rPr>
            </w:r>
          </w:p>
        </w:tc>
        <w:tc>
          <w:tcPr>
            <w:tcW w:type="dxa" w:w="2938"/>
          </w:tcPr>
          <w:p>
            <w:r/>
            <w:r>
              <w:rPr>
                <w:sz w:val="16"/>
              </w:rPr>
            </w:r>
          </w:p>
        </w:tc>
      </w:tr>
    </w:tbl>
    <w:p>
      <w:pPr>
        <w:spacing w:after="120"/>
      </w:pPr>
    </w:p>
    <w:p>
      <w:pPr>
        <w:spacing w:before="120" w:after="120"/>
      </w:pPr>
      <w:r>
        <w:rPr>
          <w:color w:val="555555"/>
          <w:sz w:val="16"/>
        </w:rPr>
        <w:t>――――――――――――――――――――――――――――――――――――――――――――――――――――――――――――――――――――――――――――――――――――――――――</w:t>
      </w:r>
    </w:p>
    <w:p>
      <w:pPr>
        <w:spacing w:before="320" w:after="160"/>
      </w:pPr>
      <w:r>
        <w:rPr>
          <w:b/>
          <w:color w:val="0F2347"/>
          <w:sz w:val="32"/>
        </w:rPr>
        <w:t>If 30–42 proves too short</w:t>
      </w:r>
    </w:p>
    <w:p>
      <w:pPr>
        <w:spacing w:after="80"/>
      </w:pPr>
      <w:r>
        <w:rPr>
          <w:b/>
          <w:i w:val="0"/>
          <w:color w:val="000000"/>
          <w:sz w:val="21"/>
        </w:rPr>
        <w:t>Recover time in this order, and stop as soon as you have enough:</w:t>
      </w:r>
    </w:p>
    <w:p>
      <w:pPr>
        <w:pStyle w:val="ListNumber"/>
        <w:spacing w:after="60"/>
      </w:pPr>
      <w:r>
        <w:rPr>
          <w:color w:val="000000"/>
          <w:sz w:val="19"/>
        </w:rPr>
        <w:t>1. Remove or compress the 48–52 anonymous interaction. It is already marked OPTIONAL in the deck and costs the participant nothing.</w:t>
      </w:r>
    </w:p>
    <w:p>
      <w:pPr>
        <w:pStyle w:val="ListNumber"/>
        <w:spacing w:after="60"/>
      </w:pPr>
      <w:r>
        <w:rPr>
          <w:color w:val="000000"/>
          <w:sz w:val="19"/>
        </w:rPr>
        <w:t>2. Use the 72–75 buffer.</w:t>
      </w:r>
    </w:p>
    <w:p>
      <w:pPr>
        <w:pStyle w:val="ListNumber"/>
        <w:spacing w:after="60"/>
      </w:pPr>
      <w:r>
        <w:rPr>
          <w:color w:val="000000"/>
          <w:sz w:val="19"/>
        </w:rPr>
        <w:t>3. Compress the Four States overview slightly.</w:t>
      </w:r>
    </w:p>
    <w:p>
      <w:pPr>
        <w:pStyle w:val="ListNumber"/>
        <w:spacing w:after="60"/>
      </w:pPr>
      <w:r>
        <w:rPr>
          <w:color w:val="000000"/>
          <w:sz w:val="19"/>
        </w:rPr>
        <w:t>4. Compress the commercial close.</w:t>
      </w:r>
    </w:p>
    <w:p>
      <w:pPr>
        <w:spacing w:after="160"/>
      </w:pPr>
      <w:r>
        <w:rPr>
          <w:b/>
          <w:i w:val="0"/>
          <w:color w:val="B00000"/>
          <w:sz w:val="20"/>
        </w:rPr>
        <w:t>Never reduce:</w:t>
      </w:r>
    </w:p>
    <w:p>
      <w:pPr>
        <w:pStyle w:val="ListBullet"/>
        <w:spacing w:after="60"/>
      </w:pPr>
      <w:r>
        <w:rPr>
          <w:color w:val="B00000"/>
          <w:sz w:val="19"/>
        </w:rPr>
        <w:t>The full second read below what the rehearsal proves participants genuinely need.</w:t>
      </w:r>
    </w:p>
    <w:p>
      <w:pPr>
        <w:pStyle w:val="ListBullet"/>
        <w:spacing w:after="60"/>
      </w:pPr>
      <w:r>
        <w:rPr>
          <w:color w:val="B00000"/>
          <w:sz w:val="19"/>
        </w:rPr>
        <w:t>The uncertainty and sensitivity procedure.</w:t>
      </w:r>
    </w:p>
    <w:p>
      <w:pPr>
        <w:pStyle w:val="ListBullet"/>
        <w:spacing w:after="60"/>
      </w:pPr>
      <w:r>
        <w:rPr>
          <w:color w:val="B00000"/>
          <w:sz w:val="19"/>
        </w:rPr>
        <w:t>The Next-Move Note below a usable writing period.</w:t>
      </w:r>
    </w:p>
    <w:p>
      <w:pPr>
        <w:spacing w:after="160"/>
      </w:pPr>
      <w:r>
        <w:rPr>
          <w:b/>
          <w:i w:val="0"/>
          <w:color w:val="000000"/>
          <w:sz w:val="19"/>
        </w:rPr>
        <w:t>Do not automatically extend the session beyond 90 minutes to make the timing work. If the rehearsal shows the content genuinely does not fit, that is a design finding and belongs in a decision, not in a silent overrun. Report what the rehearsal shows.</w:t>
      </w:r>
    </w:p>
    <w:p>
      <w:pPr>
        <w:spacing w:before="120" w:after="120"/>
      </w:pPr>
      <w:r>
        <w:rPr>
          <w:color w:val="555555"/>
          <w:sz w:val="16"/>
        </w:rPr>
        <w:t>――――――――――――――――――――――――――――――――――――――――――――――――――――――――――――――――――――――――――――――――――――――――――</w:t>
      </w:r>
    </w:p>
    <w:p>
      <w:pPr>
        <w:spacing w:before="320" w:after="160"/>
      </w:pPr>
      <w:r>
        <w:rPr>
          <w:b/>
          <w:color w:val="0F2347"/>
          <w:sz w:val="32"/>
        </w:rPr>
        <w:t>After each rehearsal — record the answer</w:t>
      </w:r>
    </w:p>
    <w:p>
      <w:pPr>
        <w:pStyle w:val="ListBullet"/>
        <w:spacing w:after="60"/>
      </w:pPr>
      <w:r>
        <w:rPr>
          <w:color w:val="000000"/>
          <w:sz w:val="19"/>
        </w:rPr>
        <w:t>Did the whole sequence land inside 75:00 without rushing?</w:t>
      </w:r>
    </w:p>
    <w:p>
      <w:pPr>
        <w:pStyle w:val="ListBullet"/>
        <w:spacing w:after="60"/>
      </w:pPr>
      <w:r>
        <w:rPr>
          <w:color w:val="000000"/>
          <w:sz w:val="19"/>
        </w:rPr>
        <w:t>Did 30–42 give enough time to work twelve statements through with evidence?</w:t>
      </w:r>
    </w:p>
    <w:p>
      <w:pPr>
        <w:pStyle w:val="ListBullet"/>
        <w:spacing w:after="60"/>
      </w:pPr>
      <w:r>
        <w:rPr>
          <w:color w:val="000000"/>
          <w:sz w:val="19"/>
        </w:rPr>
        <w:t>Did anything marked PROTECTED have to be cut?</w:t>
      </w:r>
    </w:p>
    <w:p>
      <w:pPr>
        <w:pStyle w:val="ListBullet"/>
        <w:spacing w:after="60"/>
      </w:pPr>
      <w:r>
        <w:rPr>
          <w:color w:val="000000"/>
          <w:sz w:val="19"/>
        </w:rPr>
        <w:t>Was the sensitivity procedure explainable in the time available?</w:t>
      </w:r>
    </w:p>
    <w:p>
      <w:pPr>
        <w:pStyle w:val="ListBullet"/>
        <w:spacing w:after="60"/>
      </w:pPr>
      <w:r>
        <w:rPr>
          <w:color w:val="000000"/>
          <w:sz w:val="19"/>
        </w:rPr>
        <w:t>Did the Next-Move Note get a usable writing period?</w:t>
      </w:r>
    </w:p>
    <w:p>
      <w:pPr>
        <w:pStyle w:val="ListBullet"/>
        <w:spacing w:after="60"/>
      </w:pPr>
      <w:r>
        <w:rPr>
          <w:color w:val="000000"/>
          <w:sz w:val="19"/>
        </w:rPr>
        <w:t>What is the single largest timing defect found?</w:t>
      </w:r>
    </w:p>
    <w:p>
      <w:pPr>
        <w:spacing w:after="160"/>
      </w:pPr>
      <w:r>
        <w:rPr>
          <w:b/>
          <w:i w:val="0"/>
          <w:color w:val="000000"/>
          <w:sz w:val="19"/>
        </w:rPr>
        <w:t>Two recorded rehearsals plus a visual review of the deck are the two things standing between v1.1 CANDIDATE and FINAL.</w:t>
      </w:r>
    </w:p>
    <w:p>
      <w:pPr>
        <w:spacing w:before="120" w:after="120"/>
      </w:pPr>
      <w:r>
        <w:rPr>
          <w:color w:val="555555"/>
          <w:sz w:val="16"/>
        </w:rPr>
        <w:t>――――――――――――――――――――――――――――――――――――――――――――――――――――――――――――――――――――――――――――――――――――――――――</w:t>
      </w:r>
    </w:p>
    <w:p>
      <w:pPr>
        <w:spacing w:after="0"/>
      </w:pPr>
      <w:r>
        <w:rPr>
          <w:b w:val="0"/>
          <w:i/>
          <w:color w:val="555555"/>
          <w:sz w:val="16"/>
        </w:rPr>
        <w:t>FREE FLAGSHIP — REHEARSAL TIMING SHEET v1.0  ·  INTERNAL ONLY  ·  Revised: Friday, August 14, 2026, 11:45 AM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