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 NOT PARTICIPANT-FACING</w:t>
            </w:r>
          </w:p>
          <w:p>
            <w:r>
              <w:rPr>
                <w:b/>
                <w:color w:val="FFFFFF"/>
                <w:sz w:val="40"/>
              </w:rPr>
              <w:t>Free Flagship v1.1 Change Log</w:t>
            </w:r>
          </w:p>
          <w:p>
            <w:r>
              <w:rPr>
                <w:i/>
                <w:color w:val="E3D9C4"/>
                <w:sz w:val="22"/>
              </w:rPr>
              <w:t>Rehearsal-readiness micro-patch + participant worksheet  ·  Revised: Friday, August 14, 2026, 11:45 AM Central Time</w:t>
            </w:r>
          </w:p>
        </w:tc>
      </w:tr>
    </w:tbl>
    <w:p>
      <w:pPr>
        <w:spacing w:after="80"/>
      </w:pPr>
    </w:p>
    <w:p>
      <w:pPr>
        <w:spacing w:after="160"/>
      </w:pPr>
      <w:r>
        <w:rPr>
          <w:b/>
          <w:i w:val="0"/>
          <w:color w:val="000000"/>
          <w:sz w:val="19"/>
        </w:rPr>
        <w:t>This log records every change from FREE FLAGSHIP v1.0 CANDIDATE to v1.1 CANDIDATE, and states explicitly what was not changed. v1.0 was not overwritten; both versions exist side by side.</w:t>
      </w:r>
    </w:p>
    <w:p>
      <w:pPr>
        <w:spacing w:before="120" w:after="120"/>
      </w:pPr>
      <w:r>
        <w:rPr>
          <w:color w:val="555555"/>
          <w:sz w:val="16"/>
        </w:rPr>
        <w:t>――――――――――――――――――――――――――――――――――――――――――――――――――――――――――――――――――――――――――――――――――――――――――</w:t>
      </w:r>
    </w:p>
    <w:p>
      <w:pPr>
        <w:spacing w:before="320" w:after="160"/>
      </w:pPr>
      <w:r>
        <w:rPr>
          <w:b/>
          <w:color w:val="0F2347"/>
          <w:sz w:val="32"/>
        </w:rPr>
        <w:t>Changed — deck</w:t>
      </w:r>
    </w:p>
    <w:tbl>
      <w:tblPr>
        <w:tblW w:type="auto" w:w="0"/>
        <w:tblLayout w:type="fixed"/>
        <w:tblLook w:firstColumn="1" w:firstRow="1" w:lastColumn="0" w:lastRow="0" w:noHBand="0" w:noVBand="1" w:val="04A0"/>
      </w:tblPr>
      <w:tblGrid>
        <w:gridCol w:w="5040"/>
        <w:gridCol w:w="5040"/>
      </w:tblGrid>
      <w:tr>
        <w:tc>
          <w:tcPr>
            <w:tcW w:type="dxa" w:w="3600"/>
            <w:shd w:val="clear" w:fill="0F2347"/>
          </w:tcPr>
          <w:p>
            <w:r/>
            <w:r>
              <w:rPr>
                <w:b/>
                <w:color w:val="FFFFFF"/>
                <w:sz w:val="19"/>
              </w:rPr>
              <w:t>Where and what</w:t>
            </w:r>
          </w:p>
        </w:tc>
        <w:tc>
          <w:tcPr>
            <w:tcW w:type="dxa" w:w="6048"/>
            <w:shd w:val="clear" w:fill="0F2347"/>
          </w:tcPr>
          <w:p>
            <w:r/>
            <w:r>
              <w:rPr>
                <w:b/>
                <w:color w:val="FFFFFF"/>
                <w:sz w:val="19"/>
              </w:rPr>
              <w:t>Detail</w:t>
            </w:r>
          </w:p>
        </w:tc>
      </w:tr>
      <w:tr>
        <w:tc>
          <w:tcPr>
            <w:tcW w:type="dxa" w:w="3600"/>
          </w:tcPr>
          <w:p>
            <w:r/>
            <w:r>
              <w:rPr>
                <w:b/>
                <w:sz w:val="19"/>
              </w:rPr>
              <w:t>Slide 23 — Uncertainty logic made explicit</w:t>
            </w:r>
          </w:p>
        </w:tc>
        <w:tc>
          <w:tcPr>
            <w:tcW w:type="dxa" w:w="6048"/>
          </w:tcPr>
          <w:p>
            <w:r/>
            <w:r>
              <w:rPr>
                <w:sz w:val="19"/>
              </w:rPr>
              <w:t>The slide previously ran a five-step sensitivity procedure without stating who has to run it. It now separates three tiers keyed to the number of question-marked items on an axis: NONE — no unsupported-item range is required, use the corrected total normally subject to the standard boundary rule; 1 OR 2 — the axis is PROVISIONAL and the neighbouring-score sensitivity check is run; 3+ — the axis is INCOMPLETE and the participant does not place on it today. The procedure itself is unchanged.</w:t>
            </w:r>
          </w:p>
        </w:tc>
      </w:tr>
      <w:tr>
        <w:tc>
          <w:tcPr>
            <w:tcW w:type="dxa" w:w="3600"/>
          </w:tcPr>
          <w:p>
            <w:r/>
            <w:r>
              <w:rPr>
                <w:b/>
                <w:sz w:val="19"/>
              </w:rPr>
              <w:t>Slide 23 — Bounds and boundary band preserved in the new layout</w:t>
            </w:r>
          </w:p>
        </w:tc>
        <w:tc>
          <w:tcPr>
            <w:tcW w:type="dxa" w:w="6048"/>
          </w:tcPr>
          <w:p>
            <w:r/>
            <w:r>
              <w:rPr>
                <w:sz w:val="19"/>
              </w:rPr>
              <w:t>A 1? is never tested at 0 and a 5? never at 6, stated inside the procedure. 17 to 21 remains the boundary band on either axis, stated beneath. The slide still says this is an operational convention, not a statistical confidence interval.</w:t>
            </w:r>
          </w:p>
        </w:tc>
      </w:tr>
      <w:tr>
        <w:tc>
          <w:tcPr>
            <w:tcW w:type="dxa" w:w="3600"/>
          </w:tcPr>
          <w:p>
            <w:r/>
            <w:r>
              <w:rPr>
                <w:b/>
                <w:sz w:val="19"/>
              </w:rPr>
              <w:t>Slide 23 — Speaker note rewritten</w:t>
            </w:r>
          </w:p>
        </w:tc>
        <w:tc>
          <w:tcPr>
            <w:tcW w:type="dxa" w:w="6048"/>
          </w:tcPr>
          <w:p>
            <w:r/>
            <w:r>
              <w:rPr>
                <w:sz w:val="19"/>
              </w:rPr>
              <w:t>The note now teaches all three tiers and adds the reason: participants with no marked items commonly sit through the procedure believing they must run it. Boundary and incomplete are named as legitimate outcomes.</w:t>
            </w:r>
          </w:p>
        </w:tc>
      </w:tr>
      <w:tr>
        <w:tc>
          <w:tcPr>
            <w:tcW w:type="dxa" w:w="3600"/>
          </w:tcPr>
          <w:p>
            <w:r/>
            <w:r>
              <w:rPr>
                <w:b/>
                <w:sz w:val="19"/>
              </w:rPr>
              <w:t>Slides 16, 22, 24 — Confidence returned to the 1–5 method convention</w:t>
            </w:r>
          </w:p>
        </w:tc>
        <w:tc>
          <w:tcPr>
            <w:tcW w:type="dxa" w:w="6048"/>
          </w:tcPr>
          <w:p>
            <w:r/>
            <w:r>
              <w:rPr>
                <w:sz w:val="19"/>
              </w:rPr>
              <w:t>v1.0 simplified confidence to high / medium / low. Both placements now read “Rate your confidence in this placement from 1 to 5.” Confidence is written privately and compared privately. No confidence poll was added and nothing is collected.</w:t>
            </w:r>
          </w:p>
        </w:tc>
      </w:tr>
      <w:tr>
        <w:tc>
          <w:tcPr>
            <w:tcW w:type="dxa" w:w="3600"/>
          </w:tcPr>
          <w:p>
            <w:r/>
            <w:r>
              <w:rPr>
                <w:b/>
                <w:sz w:val="19"/>
              </w:rPr>
              <w:t>Slide 18 note — Prevalence claim removed</w:t>
            </w:r>
          </w:p>
        </w:tc>
        <w:tc>
          <w:tcPr>
            <w:tcW w:type="dxa" w:w="6048"/>
          </w:tcPr>
          <w:p>
            <w:r/>
            <w:r>
              <w:rPr>
                <w:sz w:val="19"/>
              </w:rPr>
              <w:t>“This is the most common misreading in the room” is gone. Replaced with the evidence-safe form: the misreading occurs when someone scores the work they are about to do rather than the work that actually occurred inside the evidence window. The note now instructs the facilitator not to call it common, typical or most frequent.</w:t>
            </w:r>
          </w:p>
        </w:tc>
      </w:tr>
      <w:tr>
        <w:tc>
          <w:tcPr>
            <w:tcW w:type="dxa" w:w="3600"/>
          </w:tcPr>
          <w:p>
            <w:r/>
            <w:r>
              <w:rPr>
                <w:b/>
                <w:sz w:val="19"/>
              </w:rPr>
              <w:t>Slide 19 note — Prevalence claim removed</w:t>
            </w:r>
          </w:p>
        </w:tc>
        <w:tc>
          <w:tcPr>
            <w:tcW w:type="dxa" w:w="6048"/>
          </w:tcPr>
          <w:p>
            <w:r/>
            <w:r>
              <w:rPr>
                <w:sz w:val="19"/>
              </w:rPr>
              <w:t>“the people it describes are usually genuinely excellent” became “it can describe someone who is genuinely excellent at the work.”</w:t>
            </w:r>
          </w:p>
        </w:tc>
      </w:tr>
      <w:tr>
        <w:tc>
          <w:tcPr>
            <w:tcW w:type="dxa" w:w="3600"/>
          </w:tcPr>
          <w:p>
            <w:r/>
            <w:r>
              <w:rPr>
                <w:b/>
                <w:sz w:val="19"/>
              </w:rPr>
              <w:t>Slide 20 — Low Optionality restored to the governing language</w:t>
            </w:r>
          </w:p>
        </w:tc>
        <w:tc>
          <w:tcPr>
            <w:tcW w:type="dxa" w:w="6048"/>
          </w:tcPr>
          <w:p>
            <w:r/>
            <w:r>
              <w:rPr>
                <w:sz w:val="19"/>
              </w:rPr>
              <w:t>The slide tail read “Low Optionality is usually a translation and exposure problem, not a talent problem.” It now reads: a low Optionality score may reflect context-bound capability, weak translation, limited exposure, or a combination. It is not a verdict on ability or worth. This matches v5.3.1 slides 19 and 27 word for word. The note instructs the facilitator not to rank the causes.</w:t>
            </w:r>
          </w:p>
        </w:tc>
      </w:tr>
      <w:tr>
        <w:tc>
          <w:tcPr>
            <w:tcW w:type="dxa" w:w="3600"/>
          </w:tcPr>
          <w:p>
            <w:r/>
            <w:r>
              <w:rPr>
                <w:b/>
                <w:sz w:val="19"/>
              </w:rPr>
              <w:t>Slide 2 note — “the part most people skip” removed</w:t>
            </w:r>
          </w:p>
        </w:tc>
        <w:tc>
          <w:tcPr>
            <w:tcW w:type="dxa" w:w="6048"/>
          </w:tcPr>
          <w:p>
            <w:r/>
            <w:r>
              <w:rPr>
                <w:sz w:val="19"/>
              </w:rPr>
              <w:t>Replaced with “That is the part a decision is easiest to make without.”</w:t>
            </w:r>
          </w:p>
        </w:tc>
      </w:tr>
      <w:tr>
        <w:tc>
          <w:tcPr>
            <w:tcW w:type="dxa" w:w="3600"/>
          </w:tcPr>
          <w:p>
            <w:r/>
            <w:r>
              <w:rPr>
                <w:b/>
                <w:sz w:val="19"/>
              </w:rPr>
              <w:t>Appendix note — “often the most useful answer in Q&amp;A” softened to “a useful answer in Q&amp;A.”</w:t>
            </w:r>
          </w:p>
        </w:tc>
        <w:tc>
          <w:tcPr>
            <w:tcW w:type="dxa" w:w="6048"/>
          </w:tcPr>
          <w:p>
            <w:r/>
            <w:r>
              <w:rPr>
                <w:sz w:val="19"/>
              </w:rPr>
            </w:r>
          </w:p>
        </w:tc>
      </w:tr>
      <w:tr>
        <w:tc>
          <w:tcPr>
            <w:tcW w:type="dxa" w:w="3600"/>
          </w:tcPr>
          <w:p>
            <w:r/>
            <w:r>
              <w:rPr>
                <w:b/>
                <w:sz w:val="19"/>
              </w:rPr>
              <w:t>Slide 25 — Privacy wording corrected</w:t>
            </w:r>
          </w:p>
        </w:tc>
        <w:tc>
          <w:tcPr>
            <w:tcW w:type="dxa" w:w="6048"/>
          </w:tcPr>
          <w:p>
            <w:r/>
            <w:r>
              <w:rPr>
                <w:sz w:val="19"/>
              </w:rPr>
              <w:t>“One anonymous response. Nothing is collected and no state is shared” was inaccurate: an anonymous response is itself collected. It now reads “One anonymous response. No score, state, employer, or identifying information is requested.” The four response options, the optional status, the no-singleton rule and the prohibition on “most people change” are unchanged.</w:t>
            </w:r>
          </w:p>
        </w:tc>
      </w:tr>
      <w:tr>
        <w:tc>
          <w:tcPr>
            <w:tcW w:type="dxa" w:w="3600"/>
          </w:tcPr>
          <w:p>
            <w:r/>
            <w:r>
              <w:rPr>
                <w:b/>
                <w:sz w:val="19"/>
              </w:rPr>
              <w:t>Slide 29 — Prices removed from the recorded evergreen close</w:t>
            </w:r>
          </w:p>
        </w:tc>
        <w:tc>
          <w:tcPr>
            <w:tcW w:type="dxa" w:w="6048"/>
          </w:tcPr>
          <w:p>
            <w:r/>
            <w:r>
              <w:rPr>
                <w:sz w:val="19"/>
              </w:rPr>
              <w:t>$150 and “Starting at $500” no longer appear on the slide face. Both routes, both descriptors, “This session is complete on its own. Neither route is required” and the read-versus-apply distinction all remain. The note now states that current pricing and availability live on the relevant product or booking page and must be verified immediately before delivery rather than quoted from the recording.</w:t>
            </w:r>
          </w:p>
        </w:tc>
      </w:tr>
      <w:tr>
        <w:tc>
          <w:tcPr>
            <w:tcW w:type="dxa" w:w="3600"/>
          </w:tcPr>
          <w:p>
            <w:r/>
            <w:r>
              <w:rPr>
                <w:b/>
                <w:sz w:val="19"/>
              </w:rPr>
              <w:t>Speaker notes, 13 slides — Worksheet page references added</w:t>
            </w:r>
          </w:p>
        </w:tc>
        <w:tc>
          <w:tcPr>
            <w:tcW w:type="dxa" w:w="6048"/>
          </w:tcPr>
          <w:p>
            <w:r/>
            <w:r>
              <w:rPr>
                <w:sz w:val="19"/>
              </w:rPr>
              <w:t>Every participant-action slide now names its worksheet page in the note: pages 2 and 3 for the initial read, 4 for the protocol, 5 and 6 for the evidence-backed read, 7 for sensitivity and corrected position, 8 for the Next-Move Note and the rescore date.</w:t>
            </w:r>
          </w:p>
        </w:tc>
      </w:tr>
      <w:tr>
        <w:tc>
          <w:tcPr>
            <w:tcW w:type="dxa" w:w="3600"/>
          </w:tcPr>
          <w:p>
            <w:r/>
            <w:r>
              <w:rPr>
                <w:b/>
                <w:sz w:val="19"/>
              </w:rPr>
              <w:t>Slide 5 note — Worksheet availability rule added</w:t>
            </w:r>
          </w:p>
        </w:tc>
        <w:tc>
          <w:tcPr>
            <w:tcW w:type="dxa" w:w="6048"/>
          </w:tcPr>
          <w:p>
            <w:r/>
            <w:r>
              <w:rPr>
                <w:sz w:val="19"/>
              </w:rPr>
              <w:t>States that the worksheet is fully available from the start, nothing is released in stages, and anyone without it can use paper or a notes app and still complete every step.</w:t>
            </w:r>
          </w:p>
        </w:tc>
      </w:tr>
      <w:tr>
        <w:tc>
          <w:tcPr>
            <w:tcW w:type="dxa" w:w="3600"/>
          </w:tcPr>
          <w:p>
            <w:r/>
            <w:r>
              <w:rPr>
                <w:b/>
                <w:sz w:val="19"/>
              </w:rPr>
              <w:t>Slide 8 note — Build placeholder removed</w:t>
            </w:r>
          </w:p>
        </w:tc>
        <w:tc>
          <w:tcPr>
            <w:tcW w:type="dxa" w:w="6048"/>
          </w:tcPr>
          <w:p>
            <w:r/>
            <w:r>
              <w:rPr>
                <w:sz w:val="19"/>
              </w:rPr>
              <w:t>The internal “[STREAMLINED FREE FLAGSHIP WORKSHEET — TO BE BUILT IN NEXT PHASE]” marker is gone from all active notes. No file name appears on any slide face.</w:t>
            </w:r>
          </w:p>
        </w:tc>
      </w:tr>
    </w:tbl>
    <w:p>
      <w:pPr>
        <w:spacing w:after="80"/>
      </w:pPr>
    </w:p>
    <w:p>
      <w:pPr>
        <w:spacing w:before="120" w:after="120"/>
      </w:pPr>
      <w:r>
        <w:rPr>
          <w:color w:val="555555"/>
          <w:sz w:val="16"/>
        </w:rPr>
        <w:t>――――――――――――――――――――――――――――――――――――――――――――――――――――――――――――――――――――――――――――――――――――――――――</w:t>
      </w:r>
    </w:p>
    <w:p>
      <w:pPr>
        <w:spacing w:before="320" w:after="160"/>
      </w:pPr>
      <w:r>
        <w:rPr>
          <w:b/>
          <w:color w:val="0F2347"/>
          <w:sz w:val="32"/>
        </w:rPr>
        <w:t>Changed — SOP</w:t>
      </w:r>
    </w:p>
    <w:tbl>
      <w:tblPr>
        <w:tblW w:type="auto" w:w="0"/>
        <w:tblLayout w:type="fixed"/>
        <w:tblLook w:firstColumn="1" w:firstRow="1" w:lastColumn="0" w:lastRow="0" w:noHBand="0" w:noVBand="1" w:val="04A0"/>
      </w:tblPr>
      <w:tblGrid>
        <w:gridCol w:w="5040"/>
        <w:gridCol w:w="5040"/>
      </w:tblGrid>
      <w:tr>
        <w:tc>
          <w:tcPr>
            <w:tcW w:type="dxa" w:w="3600"/>
            <w:shd w:val="clear" w:fill="0F2347"/>
          </w:tcPr>
          <w:p>
            <w:r/>
            <w:r>
              <w:rPr>
                <w:b/>
                <w:color w:val="FFFFFF"/>
                <w:sz w:val="19"/>
              </w:rPr>
              <w:t>Where</w:t>
            </w:r>
          </w:p>
        </w:tc>
        <w:tc>
          <w:tcPr>
            <w:tcW w:type="dxa" w:w="6048"/>
            <w:shd w:val="clear" w:fill="0F2347"/>
          </w:tcPr>
          <w:p>
            <w:r/>
            <w:r>
              <w:rPr>
                <w:b/>
                <w:color w:val="FFFFFF"/>
                <w:sz w:val="19"/>
              </w:rPr>
              <w:t>Detail</w:t>
            </w:r>
          </w:p>
        </w:tc>
      </w:tr>
      <w:tr>
        <w:tc>
          <w:tcPr>
            <w:tcW w:type="dxa" w:w="3600"/>
          </w:tcPr>
          <w:p>
            <w:r/>
            <w:r>
              <w:rPr>
                <w:b/>
                <w:sz w:val="19"/>
              </w:rPr>
              <w:t>Section 6 — participant audio</w:t>
            </w:r>
          </w:p>
        </w:tc>
        <w:tc>
          <w:tcPr>
            <w:tcW w:type="dxa" w:w="6048"/>
          </w:tcPr>
          <w:p>
            <w:r/>
            <w:r>
              <w:rPr>
                <w:sz w:val="19"/>
              </w:rPr>
              <w:t>New operating rule for minutes 0–75: microphones muted by default; participant-specific questions held until Q&amp;A; no participant invited to explain their situation verbally while recording; named chat responses not read aloud; a highly personal chat question is never read verbatim — summarise only the general methodological question, and only if that cannot expose the person, otherwise hold it for minute 75 onward. Guidance added for courteously routing an unmuted participant to Q&amp;A.</w:t>
            </w:r>
          </w:p>
        </w:tc>
      </w:tr>
      <w:tr>
        <w:tc>
          <w:tcPr>
            <w:tcW w:type="dxa" w:w="3600"/>
          </w:tcPr>
          <w:p>
            <w:r/>
            <w:r>
              <w:rPr>
                <w:b/>
                <w:sz w:val="19"/>
              </w:rPr>
              <w:t>Section 5 and 12 — replay language</w:t>
            </w:r>
          </w:p>
        </w:tc>
        <w:tc>
          <w:tcPr>
            <w:tcW w:type="dxa" w:w="6048"/>
          </w:tcPr>
          <w:p>
            <w:r/>
            <w:r>
              <w:rPr>
                <w:sz w:val="19"/>
              </w:rPr>
              <w:t>“Public replay” is no longer the only operating assumption. The neutral term is evergreen replay, and the initial preferred model is a registration-gated evergreen replay: register free, receive access, the replay keeps working as a demand asset. Public unrestricted distribution is named as a later strategic choice, not a requirement of the architecture. Participant Q&amp;A is excluded from any shared or published replay under every model — that rule does not vary.</w:t>
            </w:r>
          </w:p>
        </w:tc>
      </w:tr>
      <w:tr>
        <w:tc>
          <w:tcPr>
            <w:tcW w:type="dxa" w:w="3600"/>
          </w:tcPr>
          <w:p>
            <w:r/>
            <w:r>
              <w:rPr>
                <w:b/>
                <w:sz w:val="19"/>
              </w:rPr>
              <w:t>Section 16 — participant worksheet</w:t>
            </w:r>
          </w:p>
        </w:tc>
        <w:tc>
          <w:tcPr>
            <w:tcW w:type="dxa" w:w="6048"/>
          </w:tcPr>
          <w:p>
            <w:r/>
            <w:r>
              <w:rPr>
                <w:sz w:val="19"/>
              </w:rPr>
              <w:t>New section describing the eight-page worksheet page by page, stating that it collects and submits nothing, contains no purchase link, pricing, coupon or institutional enquiry, and is not the Intensive Edition's Complete Session Record.</w:t>
            </w:r>
          </w:p>
        </w:tc>
      </w:tr>
      <w:tr>
        <w:tc>
          <w:tcPr>
            <w:tcW w:type="dxa" w:w="3600"/>
          </w:tcPr>
          <w:p>
            <w:r/>
            <w:r>
              <w:rPr>
                <w:b/>
                <w:sz w:val="19"/>
              </w:rPr>
              <w:t>Sections 9 and 10 — worksheet operations</w:t>
            </w:r>
          </w:p>
        </w:tc>
        <w:tc>
          <w:tcPr>
            <w:tcW w:type="dxa" w:w="6048"/>
          </w:tcPr>
          <w:p>
            <w:r/>
            <w:r>
              <w:rPr>
                <w:sz w:val="19"/>
              </w:rPr>
              <w:t>Worksheet distribution added to pre-session checks and to recorded-core operations, including the instruction that it is available in full from the start.</w:t>
            </w:r>
          </w:p>
        </w:tc>
      </w:tr>
      <w:tr>
        <w:tc>
          <w:tcPr>
            <w:tcW w:type="dxa" w:w="3600"/>
          </w:tcPr>
          <w:p>
            <w:r/>
            <w:r>
              <w:rPr>
                <w:b/>
                <w:sz w:val="19"/>
              </w:rPr>
              <w:t>Sections 17 and 18</w:t>
            </w:r>
          </w:p>
        </w:tc>
        <w:tc>
          <w:tcPr>
            <w:tcW w:type="dxa" w:w="6048"/>
          </w:tcPr>
          <w:p>
            <w:r/>
            <w:r>
              <w:rPr>
                <w:sz w:val="19"/>
              </w:rPr>
              <w:t>Renumbered after the new Section 16 was inserted.</w:t>
            </w:r>
          </w:p>
        </w:tc>
      </w:tr>
    </w:tbl>
    <w:p>
      <w:pPr>
        <w:spacing w:after="80"/>
      </w:pPr>
    </w:p>
    <w:p>
      <w:pPr>
        <w:spacing w:before="120" w:after="120"/>
      </w:pPr>
      <w:r>
        <w:rPr>
          <w:color w:val="555555"/>
          <w:sz w:val="16"/>
        </w:rPr>
        <w:t>――――――――――――――――――――――――――――――――――――――――――――――――――――――――――――――――――――――――――――――――――――――――――</w:t>
      </w:r>
    </w:p>
    <w:p>
      <w:pPr>
        <w:spacing w:before="320" w:after="160"/>
      </w:pPr>
      <w:r>
        <w:rPr>
          <w:b/>
          <w:color w:val="0F2347"/>
          <w:sz w:val="32"/>
        </w:rPr>
        <w:t>Created</w:t>
      </w:r>
    </w:p>
    <w:tbl>
      <w:tblPr>
        <w:tblW w:type="auto" w:w="0"/>
        <w:tblLayout w:type="fixed"/>
        <w:tblLook w:firstColumn="1" w:firstRow="1" w:lastColumn="0" w:lastRow="0" w:noHBand="0" w:noVBand="1" w:val="04A0"/>
      </w:tblPr>
      <w:tblGrid>
        <w:gridCol w:w="5040"/>
        <w:gridCol w:w="5040"/>
      </w:tblGrid>
      <w:tr>
        <w:tc>
          <w:tcPr>
            <w:tcW w:type="dxa" w:w="4176"/>
            <w:shd w:val="clear" w:fill="0F2347"/>
          </w:tcPr>
          <w:p>
            <w:r/>
            <w:r>
              <w:rPr>
                <w:b/>
                <w:color w:val="FFFFFF"/>
                <w:sz w:val="19"/>
              </w:rPr>
              <w:t>File</w:t>
            </w:r>
          </w:p>
        </w:tc>
        <w:tc>
          <w:tcPr>
            <w:tcW w:type="dxa" w:w="5472"/>
            <w:shd w:val="clear" w:fill="0F2347"/>
          </w:tcPr>
          <w:p>
            <w:r/>
            <w:r>
              <w:rPr>
                <w:b/>
                <w:color w:val="FFFFFF"/>
                <w:sz w:val="19"/>
              </w:rPr>
              <w:t>What it is</w:t>
            </w:r>
          </w:p>
        </w:tc>
      </w:tr>
      <w:tr>
        <w:tc>
          <w:tcPr>
            <w:tcW w:type="dxa" w:w="4176"/>
          </w:tcPr>
          <w:p>
            <w:r/>
            <w:r>
              <w:rPr>
                <w:b/>
                <w:sz w:val="19"/>
              </w:rPr>
              <w:t>Capability_Position_Read_FREE_FLAGSHIP_Worksheet_v1.0_CANDIDATE.pdf</w:t>
            </w:r>
          </w:p>
        </w:tc>
        <w:tc>
          <w:tcPr>
            <w:tcW w:type="dxa" w:w="5472"/>
          </w:tcPr>
          <w:p>
            <w:r/>
            <w:r>
              <w:rPr>
                <w:sz w:val="19"/>
              </w:rPr>
              <w:t>Eight-page participant worksheet. Fillable AcroForm and usable by hand in print. Sixty-eight fields. Initial-read score boxes accept 1–5 only; corrected-read boxes accept 1–5 with one optional question mark, which the frozen uncertainty convention requires. The four axis totals calculate automatically where the viewer runs form JavaScript and remain plain visible boxes that can be added by hand. No submit action, no hidden field, no data capture, no login.</w:t>
            </w:r>
          </w:p>
        </w:tc>
      </w:tr>
      <w:tr>
        <w:tc>
          <w:tcPr>
            <w:tcW w:type="dxa" w:w="4176"/>
          </w:tcPr>
          <w:p>
            <w:r/>
            <w:r>
              <w:rPr>
                <w:b/>
                <w:sz w:val="19"/>
              </w:rPr>
              <w:t>Capability_Position_Read_FREE_FLAGSHIP_Worksheet_v1.0_SOURCE.py</w:t>
            </w:r>
          </w:p>
        </w:tc>
        <w:tc>
          <w:tcPr>
            <w:tcW w:type="dxa" w:w="5472"/>
          </w:tcPr>
          <w:p>
            <w:r/>
            <w:r>
              <w:rPr>
                <w:sz w:val="19"/>
              </w:rPr>
              <w:t>The editable source. This document family is script-built, so the build script is the source of record: it generates every page, field, constraint and calculation in one run and is the file to edit when the worksheet changes.</w:t>
            </w:r>
          </w:p>
        </w:tc>
      </w:tr>
      <w:tr>
        <w:tc>
          <w:tcPr>
            <w:tcW w:type="dxa" w:w="4176"/>
          </w:tcPr>
          <w:p>
            <w:r/>
            <w:r>
              <w:rPr>
                <w:b/>
                <w:sz w:val="19"/>
              </w:rPr>
              <w:t>Free_Flagship_Rehearsal_Timing_Sheet_v1.0.docx</w:t>
            </w:r>
          </w:p>
        </w:tc>
        <w:tc>
          <w:tcPr>
            <w:tcW w:type="dxa" w:w="5472"/>
          </w:tcPr>
          <w:p>
            <w:r/>
            <w:r>
              <w:rPr>
                <w:sz w:val="19"/>
              </w:rPr>
              <w:t>All fourteen blocks with empty Actual and Variance columns, the ordered recovery list for a short 30–42 block, and the three things that must never be reduced.</w:t>
            </w:r>
          </w:p>
        </w:tc>
      </w:tr>
      <w:tr>
        <w:tc>
          <w:tcPr>
            <w:tcW w:type="dxa" w:w="4176"/>
          </w:tcPr>
          <w:p>
            <w:r/>
            <w:r>
              <w:rPr>
                <w:b/>
                <w:sz w:val="19"/>
              </w:rPr>
              <w:t>Free_Flagship_v1.1_Change_Log.docx</w:t>
            </w:r>
          </w:p>
        </w:tc>
        <w:tc>
          <w:tcPr>
            <w:tcW w:type="dxa" w:w="5472"/>
          </w:tcPr>
          <w:p>
            <w:r/>
            <w:r>
              <w:rPr>
                <w:sz w:val="19"/>
              </w:rPr>
              <w:t>This document.</w:t>
            </w:r>
          </w:p>
        </w:tc>
      </w:tr>
      <w:tr>
        <w:tc>
          <w:tcPr>
            <w:tcW w:type="dxa" w:w="4176"/>
          </w:tcPr>
          <w:p>
            <w:r/>
            <w:r>
              <w:rPr>
                <w:b/>
                <w:sz w:val="19"/>
              </w:rPr>
              <w:t>Free_Flagship_v1.1_Cross_Asset_QA_Report.docx</w:t>
            </w:r>
          </w:p>
        </w:tc>
        <w:tc>
          <w:tcPr>
            <w:tcW w:type="dxa" w:w="5472"/>
          </w:tcPr>
          <w:p>
            <w:r/>
            <w:r>
              <w:rPr>
                <w:sz w:val="19"/>
              </w:rPr>
              <w:t>Forty-item verification.</w:t>
            </w:r>
          </w:p>
        </w:tc>
      </w:tr>
    </w:tbl>
    <w:p>
      <w:pPr>
        <w:spacing w:after="80"/>
      </w:pPr>
    </w:p>
    <w:p>
      <w:pPr>
        <w:spacing w:before="120" w:after="120"/>
      </w:pPr>
      <w:r>
        <w:rPr>
          <w:color w:val="555555"/>
          <w:sz w:val="16"/>
        </w:rPr>
        <w:t>――――――――――――――――――――――――――――――――――――――――――――――――――――――――――――――――――――――――――――――――――――――――――</w:t>
      </w:r>
    </w:p>
    <w:p>
      <w:pPr>
        <w:spacing w:before="320" w:after="160"/>
      </w:pPr>
      <w:r>
        <w:rPr>
          <w:b/>
          <w:color w:val="0F2347"/>
          <w:sz w:val="32"/>
        </w:rPr>
        <w:t>NOT changed</w:t>
      </w:r>
    </w:p>
    <w:p>
      <w:pPr>
        <w:spacing w:after="160"/>
      </w:pPr>
      <w:r>
        <w:rPr>
          <w:b/>
          <w:i w:val="0"/>
          <w:color w:val="000000"/>
          <w:sz w:val="20"/>
        </w:rPr>
        <w:t>The instrument is frozen and nothing in this pass touched it.</w:t>
      </w:r>
    </w:p>
    <w:p>
      <w:pPr>
        <w:pStyle w:val="ListBullet"/>
        <w:spacing w:after="60"/>
      </w:pPr>
      <w:r>
        <w:rPr>
          <w:color w:val="000000"/>
          <w:sz w:val="19"/>
        </w:rPr>
        <w:t>The twelve statements — all twelve remain byte-for-byte identical to v5.3.1 FINAL.</w:t>
      </w:r>
    </w:p>
    <w:p>
      <w:pPr>
        <w:pStyle w:val="ListBullet"/>
        <w:spacing w:after="60"/>
      </w:pPr>
      <w:r>
        <w:rPr>
          <w:color w:val="000000"/>
          <w:sz w:val="19"/>
        </w:rPr>
        <w:t>The 1–5 response scale.</w:t>
      </w:r>
    </w:p>
    <w:p>
      <w:pPr>
        <w:pStyle w:val="ListBullet"/>
        <w:spacing w:after="60"/>
      </w:pPr>
      <w:r>
        <w:rPr>
          <w:color w:val="000000"/>
          <w:sz w:val="19"/>
        </w:rPr>
        <w:t>Density is statements 1–6. Optionality is statements 7–12.</w:t>
      </w:r>
    </w:p>
    <w:p>
      <w:pPr>
        <w:pStyle w:val="ListBullet"/>
        <w:spacing w:after="60"/>
      </w:pPr>
      <w:r>
        <w:rPr>
          <w:color w:val="000000"/>
          <w:sz w:val="19"/>
        </w:rPr>
        <w:t>The ninety-day evidence window.</w:t>
      </w:r>
    </w:p>
    <w:p>
      <w:pPr>
        <w:pStyle w:val="ListBullet"/>
        <w:spacing w:after="60"/>
      </w:pPr>
      <w:r>
        <w:rPr>
          <w:color w:val="000000"/>
          <w:sz w:val="19"/>
        </w:rPr>
        <w:t>The symmetric evidence protocol, including the low-score evidence requirement.</w:t>
      </w:r>
    </w:p>
    <w:p>
      <w:pPr>
        <w:pStyle w:val="ListBullet"/>
        <w:spacing w:after="60"/>
      </w:pPr>
      <w:r>
        <w:rPr>
          <w:color w:val="000000"/>
          <w:sz w:val="19"/>
        </w:rPr>
        <w:t>3 means mixed. A question mark means unsupported.</w:t>
      </w:r>
    </w:p>
    <w:p>
      <w:pPr>
        <w:pStyle w:val="ListBullet"/>
        <w:spacing w:after="60"/>
      </w:pPr>
      <w:r>
        <w:rPr>
          <w:color w:val="000000"/>
          <w:sz w:val="19"/>
        </w:rPr>
        <w:t>One or two marked items make an axis provisional; three or more make it incomplete.</w:t>
      </w:r>
    </w:p>
    <w:p>
      <w:pPr>
        <w:pStyle w:val="ListBullet"/>
        <w:spacing w:after="60"/>
      </w:pPr>
      <w:r>
        <w:rPr>
          <w:color w:val="000000"/>
          <w:sz w:val="19"/>
        </w:rPr>
        <w:t>No neighbouring score is tested below 1 or above 5.</w:t>
      </w:r>
    </w:p>
    <w:p>
      <w:pPr>
        <w:pStyle w:val="ListBullet"/>
        <w:spacing w:after="60"/>
      </w:pPr>
      <w:r>
        <w:rPr>
          <w:color w:val="000000"/>
          <w:sz w:val="19"/>
        </w:rPr>
        <w:t>17 to 21 remains the boundary band.</w:t>
      </w:r>
    </w:p>
    <w:p>
      <w:pPr>
        <w:pStyle w:val="ListBullet"/>
        <w:spacing w:after="60"/>
      </w:pPr>
      <w:r>
        <w:rPr>
          <w:color w:val="000000"/>
          <w:sz w:val="19"/>
        </w:rPr>
        <w:t>The Four States, their descriptions, and state-is-not-identity.</w:t>
      </w:r>
    </w:p>
    <w:p>
      <w:pPr>
        <w:pStyle w:val="ListBullet"/>
        <w:spacing w:after="60"/>
      </w:pPr>
      <w:r>
        <w:rPr>
          <w:color w:val="000000"/>
          <w:sz w:val="19"/>
        </w:rPr>
        <w:t>The seven move categories and the no-square-prescribes-a-move rule.</w:t>
      </w:r>
    </w:p>
    <w:p>
      <w:pPr>
        <w:pStyle w:val="ListBullet"/>
        <w:spacing w:after="60"/>
      </w:pPr>
      <w:r>
        <w:rPr>
          <w:color w:val="000000"/>
          <w:sz w:val="19"/>
        </w:rPr>
        <w:t>The non-validation and non-predictive boundary.</w:t>
      </w:r>
    </w:p>
    <w:p>
      <w:pPr>
        <w:pStyle w:val="ListBullet"/>
        <w:spacing w:after="60"/>
      </w:pPr>
      <w:r>
        <w:rPr>
          <w:color w:val="000000"/>
          <w:sz w:val="19"/>
        </w:rPr>
        <w:t>The privacy principle and the stay/leave boundary.</w:t>
      </w:r>
    </w:p>
    <w:p>
      <w:pPr>
        <w:pStyle w:val="ListBullet"/>
        <w:spacing w:after="60"/>
      </w:pPr>
      <w:r>
        <w:rPr>
          <w:color w:val="000000"/>
          <w:sz w:val="19"/>
        </w:rPr>
        <w:t>The Next-Move Note remains distinct from the Intensive Edition's Next-Move Decision.</w:t>
      </w:r>
    </w:p>
    <w:p>
      <w:pPr>
        <w:pStyle w:val="ListBullet"/>
        <w:spacing w:after="60"/>
      </w:pPr>
      <w:r>
        <w:rPr>
          <w:color w:val="000000"/>
          <w:sz w:val="19"/>
        </w:rPr>
        <w:t>90 minutes total. Recorded core 0–75. Live-only Q&amp;A 75–90.</w:t>
      </w:r>
    </w:p>
    <w:p>
      <w:pPr>
        <w:pStyle w:val="ListBullet"/>
        <w:spacing w:after="60"/>
      </w:pPr>
      <w:r>
        <w:rPr>
          <w:color w:val="000000"/>
          <w:sz w:val="19"/>
        </w:rPr>
        <w:t>Wednesday, September 16, 2026, 6:00–7:30 PM Central Time.</w:t>
      </w:r>
    </w:p>
    <w:p>
      <w:pPr>
        <w:pStyle w:val="ListBullet"/>
        <w:spacing w:after="60"/>
      </w:pPr>
      <w:r>
        <w:rPr>
          <w:color w:val="000000"/>
          <w:sz w:val="19"/>
        </w:rPr>
        <w:t>Free, open registration, no cap, no scarcity framing.</w:t>
      </w:r>
    </w:p>
    <w:p>
      <w:pPr>
        <w:pStyle w:val="ListBullet"/>
        <w:spacing w:after="60"/>
      </w:pPr>
      <w:r>
        <w:rPr>
          <w:color w:val="000000"/>
          <w:sz w:val="19"/>
        </w:rPr>
        <w:t>The deck remains 37 slides: 31 live, 6 hidden. The optional institutional close remains intact.</w:t>
      </w:r>
    </w:p>
    <w:p>
      <w:pPr>
        <w:pStyle w:val="ListBullet"/>
        <w:spacing w:after="60"/>
      </w:pPr>
      <w:r>
        <w:rPr>
          <w:color w:val="000000"/>
          <w:sz w:val="19"/>
        </w:rPr>
        <w:t>The core deck remains evergreen. The only dated slide face is the hidden pre-session holding slide.</w:t>
      </w:r>
    </w:p>
    <w:p>
      <w:pPr>
        <w:spacing w:after="160"/>
      </w:pPr>
      <w:r>
        <w:rPr>
          <w:b/>
          <w:i w:val="0"/>
          <w:color w:val="000000"/>
          <w:sz w:val="19"/>
        </w:rPr>
        <w:t>Not touched at all, and hash-verified unchanged: the v5.3.1 FINAL Intensive deck, Capability_Formation_Individual_Offer_Architecture_v1.0.docx, the Field Kit, the instrument, and the Phase 2A / 2B / 2C packages. Nothing on the do-not-build list was built.</w:t>
      </w:r>
    </w:p>
    <w:p>
      <w:pPr>
        <w:spacing w:after="160"/>
      </w:pPr>
      <w:r>
        <w:rPr>
          <w:b w:val="0"/>
          <w:i/>
          <w:color w:val="555555"/>
          <w:sz w:val="18"/>
        </w:rPr>
        <w:t>One judgement call is recorded here rather than made silently: the brief asked that every score field accept only 1–5. On the corrected read the method requires a score to be markable as 3?, so those twelve boxes accept 1–5 plus one optional question mark. The 1–5-only rule is applied to the initial read and to both confidence ratings, where a question mark is never valid.</w:t>
      </w:r>
    </w:p>
    <w:p>
      <w:pPr>
        <w:spacing w:before="120" w:after="120"/>
      </w:pPr>
      <w:r>
        <w:rPr>
          <w:color w:val="555555"/>
          <w:sz w:val="16"/>
        </w:rPr>
        <w:t>――――――――――――――――――――――――――――――――――――――――――――――――――――――――――――――――――――――――――――――――――――――――――</w:t>
      </w:r>
    </w:p>
    <w:p>
      <w:pPr>
        <w:spacing w:after="0"/>
      </w:pPr>
      <w:r>
        <w:rPr>
          <w:b w:val="0"/>
          <w:i/>
          <w:color w:val="555555"/>
          <w:sz w:val="16"/>
        </w:rPr>
        <w:t>FREE FLAGSHIP — v1.1 CHANGE LOG  ·  INTERNAL ONLY  ·  Revised: Friday, August 14, 2026, 11:45 AM Central Time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