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v1.1 Cross-Asset QA Report</w:t>
            </w:r>
          </w:p>
          <w:p>
            <w:r>
              <w:rPr>
                <w:i/>
                <w:color w:val="E3D9C4"/>
                <w:sz w:val="22"/>
              </w:rPr>
              <w:t>40 verifications  ·  Revised: Friday, August 14, 2026, 11:45 AM Central Time</w:t>
            </w:r>
          </w:p>
        </w:tc>
      </w:tr>
    </w:tbl>
    <w:p>
      <w:pPr>
        <w:spacing w:after="80"/>
      </w:pPr>
    </w:p>
    <w:p>
      <w:pPr>
        <w:spacing w:after="160"/>
      </w:pPr>
      <w:r>
        <w:rPr>
          <w:b/>
          <w:i w:val="0"/>
          <w:color w:val="000000"/>
          <w:sz w:val="19"/>
        </w:rPr>
        <w:t>Every item below was executed against the built files, not asserted from the build script. Two checks in the first run reported failures that turned out to be defects in the checks themselves — PDF text extraction preserves layout line breaks, and a prohibition list is not usable copy — and both were corrected rather than waived. The results shown are the corrected run.</w:t>
      </w:r>
    </w:p>
    <w:p>
      <w:pPr>
        <w:spacing w:before="120" w:after="120"/>
      </w:pPr>
      <w:r>
        <w:rPr>
          <w:color w:val="555555"/>
          <w:sz w:val="16"/>
        </w:rPr>
        <w:t>――――――――――――――――――――――――――――――――――――――――――――――――――――――――――――――――――――――――――――――――――――――――――</w:t>
      </w:r>
    </w:p>
    <w:p>
      <w:pPr>
        <w:spacing w:before="320" w:after="160"/>
      </w:pPr>
      <w:r>
        <w:rPr>
          <w:b/>
          <w:color w:val="0F2347"/>
          <w:sz w:val="32"/>
        </w:rPr>
        <w:t>Verification — 40 items</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1</w:t>
            </w:r>
          </w:p>
        </w:tc>
        <w:tc>
          <w:tcPr>
            <w:tcW w:type="dxa" w:w="3139"/>
          </w:tcPr>
          <w:p>
            <w:r/>
            <w:r>
              <w:rPr>
                <w:sz w:val="18"/>
              </w:rPr>
              <w:t>Flagship deck is a separate branch from v5.3.1</w:t>
            </w:r>
          </w:p>
        </w:tc>
        <w:tc>
          <w:tcPr>
            <w:tcW w:type="dxa" w:w="893"/>
            <w:shd w:val="clear" w:fill="D9EAD3"/>
          </w:tcPr>
          <w:p>
            <w:r/>
            <w:r>
              <w:rPr>
                <w:b/>
                <w:color w:val="1A7A1A"/>
                <w:sz w:val="18"/>
              </w:rPr>
              <w:t>PASS</w:t>
            </w:r>
          </w:p>
        </w:tc>
        <w:tc>
          <w:tcPr>
            <w:tcW w:type="dxa" w:w="5587"/>
          </w:tcPr>
          <w:p>
            <w:r/>
            <w:r>
              <w:rPr>
                <w:sz w:val="17"/>
              </w:rPr>
              <w:t>Two distinct files, two distinct products. The flagship is 37 slides; the Intensive Edition is 46. Neither is derived from the other at build time.</w:t>
            </w:r>
          </w:p>
        </w:tc>
      </w:tr>
      <w:tr>
        <w:tc>
          <w:tcPr>
            <w:tcW w:type="dxa" w:w="461"/>
          </w:tcPr>
          <w:p>
            <w:r/>
            <w:r>
              <w:rPr>
                <w:sz w:val="18"/>
              </w:rPr>
              <w:t>2</w:t>
            </w:r>
          </w:p>
        </w:tc>
        <w:tc>
          <w:tcPr>
            <w:tcW w:type="dxa" w:w="3139"/>
          </w:tcPr>
          <w:p>
            <w:r/>
            <w:r>
              <w:rPr>
                <w:sz w:val="18"/>
              </w:rPr>
              <w:t>v5.3.1 FINAL is byte-identical and untouched</w:t>
            </w:r>
          </w:p>
        </w:tc>
        <w:tc>
          <w:tcPr>
            <w:tcW w:type="dxa" w:w="893"/>
            <w:shd w:val="clear" w:fill="D9EAD3"/>
          </w:tcPr>
          <w:p>
            <w:r/>
            <w:r>
              <w:rPr>
                <w:b/>
                <w:color w:val="1A7A1A"/>
                <w:sz w:val="18"/>
              </w:rPr>
              <w:t>PASS</w:t>
            </w:r>
          </w:p>
        </w:tc>
        <w:tc>
          <w:tcPr>
            <w:tcW w:type="dxa" w:w="5587"/>
          </w:tcPr>
          <w:p>
            <w:r/>
            <w:r>
              <w:rPr>
                <w:sz w:val="17"/>
              </w:rPr>
              <w:t>SHA-256 matches the uploaded source exactly. The file was opened read-only for method verification and never written.</w:t>
            </w:r>
          </w:p>
        </w:tc>
      </w:tr>
      <w:tr>
        <w:tc>
          <w:tcPr>
            <w:tcW w:type="dxa" w:w="461"/>
          </w:tcPr>
          <w:p>
            <w:r/>
            <w:r>
              <w:rPr>
                <w:sz w:val="18"/>
              </w:rPr>
              <w:t>3</w:t>
            </w:r>
          </w:p>
        </w:tc>
        <w:tc>
          <w:tcPr>
            <w:tcW w:type="dxa" w:w="3139"/>
          </w:tcPr>
          <w:p>
            <w:r/>
            <w:r>
              <w:rPr>
                <w:sz w:val="18"/>
              </w:rPr>
              <w:t>Architecture v1.0 is untouched</w:t>
            </w:r>
          </w:p>
        </w:tc>
        <w:tc>
          <w:tcPr>
            <w:tcW w:type="dxa" w:w="893"/>
            <w:shd w:val="clear" w:fill="D9EAD3"/>
          </w:tcPr>
          <w:p>
            <w:r/>
            <w:r>
              <w:rPr>
                <w:b/>
                <w:color w:val="1A7A1A"/>
                <w:sz w:val="18"/>
              </w:rPr>
              <w:t>PASS</w:t>
            </w:r>
          </w:p>
        </w:tc>
        <w:tc>
          <w:tcPr>
            <w:tcW w:type="dxa" w:w="5587"/>
          </w:tcPr>
          <w:p>
            <w:r/>
            <w:r>
              <w:rPr>
                <w:sz w:val="17"/>
              </w:rPr>
              <w:t>The v1.1 build script disables the Architecture build block rather than regenerating it. The approved file on disk is the deliverable.</w:t>
            </w:r>
          </w:p>
        </w:tc>
      </w:tr>
      <w:tr>
        <w:tc>
          <w:tcPr>
            <w:tcW w:type="dxa" w:w="461"/>
          </w:tcPr>
          <w:p>
            <w:r/>
            <w:r>
              <w:rPr>
                <w:sz w:val="18"/>
              </w:rPr>
              <w:t>4</w:t>
            </w:r>
          </w:p>
        </w:tc>
        <w:tc>
          <w:tcPr>
            <w:tcW w:type="dxa" w:w="3139"/>
          </w:tcPr>
          <w:p>
            <w:r/>
            <w:r>
              <w:rPr>
                <w:sz w:val="18"/>
              </w:rPr>
              <w:t>All twelve statements remain exact</w:t>
            </w:r>
          </w:p>
        </w:tc>
        <w:tc>
          <w:tcPr>
            <w:tcW w:type="dxa" w:w="893"/>
            <w:shd w:val="clear" w:fill="D9EAD3"/>
          </w:tcPr>
          <w:p>
            <w:r/>
            <w:r>
              <w:rPr>
                <w:b/>
                <w:color w:val="1A7A1A"/>
                <w:sz w:val="18"/>
              </w:rPr>
              <w:t>PASS</w:t>
            </w:r>
          </w:p>
        </w:tc>
        <w:tc>
          <w:tcPr>
            <w:tcW w:type="dxa" w:w="5587"/>
          </w:tcPr>
          <w:p>
            <w:r/>
            <w:r>
              <w:rPr>
                <w:sz w:val="17"/>
              </w:rPr>
              <w:t>Twelve of twelve verified verbatim against v5.3.1 FINAL, character for character, including the curly apostrophe in statement 8.</w:t>
            </w:r>
          </w:p>
        </w:tc>
      </w:tr>
      <w:tr>
        <w:tc>
          <w:tcPr>
            <w:tcW w:type="dxa" w:w="461"/>
          </w:tcPr>
          <w:p>
            <w:r/>
            <w:r>
              <w:rPr>
                <w:sz w:val="18"/>
              </w:rPr>
              <w:t>5</w:t>
            </w:r>
          </w:p>
        </w:tc>
        <w:tc>
          <w:tcPr>
            <w:tcW w:type="dxa" w:w="3139"/>
          </w:tcPr>
          <w:p>
            <w:r/>
            <w:r>
              <w:rPr>
                <w:sz w:val="18"/>
              </w:rPr>
              <w:t>Density allocation exact</w:t>
            </w:r>
          </w:p>
        </w:tc>
        <w:tc>
          <w:tcPr>
            <w:tcW w:type="dxa" w:w="893"/>
            <w:shd w:val="clear" w:fill="D9EAD3"/>
          </w:tcPr>
          <w:p>
            <w:r/>
            <w:r>
              <w:rPr>
                <w:b/>
                <w:color w:val="1A7A1A"/>
                <w:sz w:val="18"/>
              </w:rPr>
              <w:t>PASS</w:t>
            </w:r>
          </w:p>
        </w:tc>
        <w:tc>
          <w:tcPr>
            <w:tcW w:type="dxa" w:w="5587"/>
          </w:tcPr>
          <w:p>
            <w:r/>
            <w:r>
              <w:rPr>
                <w:sz w:val="17"/>
              </w:rPr>
              <w:t>Slides 8 and 9 carry statements 1–6 as Density; worksheet page 2 does the same.</w:t>
            </w:r>
          </w:p>
        </w:tc>
      </w:tr>
      <w:tr>
        <w:tc>
          <w:tcPr>
            <w:tcW w:type="dxa" w:w="461"/>
          </w:tcPr>
          <w:p>
            <w:r/>
            <w:r>
              <w:rPr>
                <w:sz w:val="18"/>
              </w:rPr>
              <w:t>6</w:t>
            </w:r>
          </w:p>
        </w:tc>
        <w:tc>
          <w:tcPr>
            <w:tcW w:type="dxa" w:w="3139"/>
          </w:tcPr>
          <w:p>
            <w:r/>
            <w:r>
              <w:rPr>
                <w:sz w:val="18"/>
              </w:rPr>
              <w:t>Optionality allocation exact</w:t>
            </w:r>
          </w:p>
        </w:tc>
        <w:tc>
          <w:tcPr>
            <w:tcW w:type="dxa" w:w="893"/>
            <w:shd w:val="clear" w:fill="D9EAD3"/>
          </w:tcPr>
          <w:p>
            <w:r/>
            <w:r>
              <w:rPr>
                <w:b/>
                <w:color w:val="1A7A1A"/>
                <w:sz w:val="18"/>
              </w:rPr>
              <w:t>PASS</w:t>
            </w:r>
          </w:p>
        </w:tc>
        <w:tc>
          <w:tcPr>
            <w:tcW w:type="dxa" w:w="5587"/>
          </w:tcPr>
          <w:p>
            <w:r/>
            <w:r>
              <w:rPr>
                <w:sz w:val="17"/>
              </w:rPr>
              <w:t>Slides 11 and 12 carry statements 7–12 as Optionality; worksheet page 3 does the same.</w:t>
            </w:r>
          </w:p>
        </w:tc>
      </w:tr>
      <w:tr>
        <w:tc>
          <w:tcPr>
            <w:tcW w:type="dxa" w:w="461"/>
          </w:tcPr>
          <w:p>
            <w:r/>
            <w:r>
              <w:rPr>
                <w:sz w:val="18"/>
              </w:rPr>
              <w:t>7</w:t>
            </w:r>
          </w:p>
        </w:tc>
        <w:tc>
          <w:tcPr>
            <w:tcW w:type="dxa" w:w="3139"/>
          </w:tcPr>
          <w:p>
            <w:r/>
            <w:r>
              <w:rPr>
                <w:sz w:val="18"/>
              </w:rPr>
              <w:t>1–5 scale exact</w:t>
            </w:r>
          </w:p>
        </w:tc>
        <w:tc>
          <w:tcPr>
            <w:tcW w:type="dxa" w:w="893"/>
            <w:shd w:val="clear" w:fill="D9EAD3"/>
          </w:tcPr>
          <w:p>
            <w:r/>
            <w:r>
              <w:rPr>
                <w:b/>
                <w:color w:val="1A7A1A"/>
                <w:sz w:val="18"/>
              </w:rPr>
              <w:t>PASS</w:t>
            </w:r>
          </w:p>
        </w:tc>
        <w:tc>
          <w:tcPr>
            <w:tcW w:type="dxa" w:w="5587"/>
          </w:tcPr>
          <w:p>
            <w:r/>
            <w:r>
              <w:rPr>
                <w:sz w:val="17"/>
              </w:rPr>
              <w:t>The scale chip is unchanged on every statement slide and the worksheet prints 1 strongly disagree / 3 mixed / 5 strongly agree above each block.</w:t>
            </w:r>
          </w:p>
        </w:tc>
      </w:tr>
      <w:tr>
        <w:tc>
          <w:tcPr>
            <w:tcW w:type="dxa" w:w="461"/>
          </w:tcPr>
          <w:p>
            <w:r/>
            <w:r>
              <w:rPr>
                <w:sz w:val="18"/>
              </w:rPr>
              <w:t>8</w:t>
            </w:r>
          </w:p>
        </w:tc>
        <w:tc>
          <w:tcPr>
            <w:tcW w:type="dxa" w:w="3139"/>
          </w:tcPr>
          <w:p>
            <w:r/>
            <w:r>
              <w:rPr>
                <w:sz w:val="18"/>
              </w:rPr>
              <w:t>Ninety-day evidence window exact</w:t>
            </w:r>
          </w:p>
        </w:tc>
        <w:tc>
          <w:tcPr>
            <w:tcW w:type="dxa" w:w="893"/>
            <w:shd w:val="clear" w:fill="D9EAD3"/>
          </w:tcPr>
          <w:p>
            <w:r/>
            <w:r>
              <w:rPr>
                <w:b/>
                <w:color w:val="1A7A1A"/>
                <w:sz w:val="18"/>
              </w:rPr>
              <w:t>PASS</w:t>
            </w:r>
          </w:p>
        </w:tc>
        <w:tc>
          <w:tcPr>
            <w:tcW w:type="dxa" w:w="5587"/>
          </w:tcPr>
          <w:p>
            <w:r/>
            <w:r>
              <w:rPr>
                <w:sz w:val="17"/>
              </w:rPr>
              <w:t>Deck slide 17 and worksheet page 4 both carry the v5.3.1 sentence verbatim: “Every corrected score requires an evidence line from the last ninety days. Every score, in both directions.”</w:t>
            </w:r>
          </w:p>
        </w:tc>
      </w:tr>
      <w:tr>
        <w:tc>
          <w:tcPr>
            <w:tcW w:type="dxa" w:w="461"/>
          </w:tcPr>
          <w:p>
            <w:r/>
            <w:r>
              <w:rPr>
                <w:sz w:val="18"/>
              </w:rPr>
              <w:t>9</w:t>
            </w:r>
          </w:p>
        </w:tc>
        <w:tc>
          <w:tcPr>
            <w:tcW w:type="dxa" w:w="3139"/>
          </w:tcPr>
          <w:p>
            <w:r/>
            <w:r>
              <w:rPr>
                <w:sz w:val="18"/>
              </w:rPr>
              <w:t>Symmetric protocol intact</w:t>
            </w:r>
          </w:p>
        </w:tc>
        <w:tc>
          <w:tcPr>
            <w:tcW w:type="dxa" w:w="893"/>
            <w:shd w:val="clear" w:fill="D9EAD3"/>
          </w:tcPr>
          <w:p>
            <w:r/>
            <w:r>
              <w:rPr>
                <w:b/>
                <w:color w:val="1A7A1A"/>
                <w:sz w:val="18"/>
              </w:rPr>
              <w:t>PASS</w:t>
            </w:r>
          </w:p>
        </w:tc>
        <w:tc>
          <w:tcPr>
            <w:tcW w:type="dxa" w:w="5587"/>
          </w:tcPr>
          <w:p>
            <w:r/>
            <w:r>
              <w:rPr>
                <w:sz w:val="17"/>
              </w:rPr>
              <w:t>Low scores still require a counterexample or an absence, and the requirement is stated in both directions in the deck and on the worksheet.</w:t>
            </w:r>
          </w:p>
        </w:tc>
      </w:tr>
      <w:tr>
        <w:tc>
          <w:tcPr>
            <w:tcW w:type="dxa" w:w="461"/>
          </w:tcPr>
          <w:p>
            <w:r/>
            <w:r>
              <w:rPr>
                <w:sz w:val="18"/>
              </w:rPr>
              <w:t>10</w:t>
            </w:r>
          </w:p>
        </w:tc>
        <w:tc>
          <w:tcPr>
            <w:tcW w:type="dxa" w:w="3139"/>
          </w:tcPr>
          <w:p>
            <w:r/>
            <w:r>
              <w:rPr>
                <w:sz w:val="18"/>
              </w:rPr>
              <w:t>3 means mixed</w:t>
            </w:r>
          </w:p>
        </w:tc>
        <w:tc>
          <w:tcPr>
            <w:tcW w:type="dxa" w:w="893"/>
            <w:shd w:val="clear" w:fill="D9EAD3"/>
          </w:tcPr>
          <w:p>
            <w:r/>
            <w:r>
              <w:rPr>
                <w:b/>
                <w:color w:val="1A7A1A"/>
                <w:sz w:val="18"/>
              </w:rPr>
              <w:t>PASS</w:t>
            </w:r>
          </w:p>
        </w:tc>
        <w:tc>
          <w:tcPr>
            <w:tcW w:type="dxa" w:w="5587"/>
          </w:tcPr>
          <w:p>
            <w:r/>
            <w:r>
              <w:rPr>
                <w:sz w:val="17"/>
              </w:rPr>
              <w:t>Stated on deck slide 17 and in the worksheet's page-4 navy band.</w:t>
            </w:r>
          </w:p>
        </w:tc>
      </w:tr>
      <w:tr>
        <w:tc>
          <w:tcPr>
            <w:tcW w:type="dxa" w:w="461"/>
          </w:tcPr>
          <w:p>
            <w:r/>
            <w:r>
              <w:rPr>
                <w:sz w:val="18"/>
              </w:rPr>
              <w:t>11</w:t>
            </w:r>
          </w:p>
        </w:tc>
        <w:tc>
          <w:tcPr>
            <w:tcW w:type="dxa" w:w="3139"/>
          </w:tcPr>
          <w:p>
            <w:r/>
            <w:r>
              <w:rPr>
                <w:sz w:val="18"/>
              </w:rPr>
              <w:t>? means unsupported</w:t>
            </w:r>
          </w:p>
        </w:tc>
        <w:tc>
          <w:tcPr>
            <w:tcW w:type="dxa" w:w="893"/>
            <w:shd w:val="clear" w:fill="D9EAD3"/>
          </w:tcPr>
          <w:p>
            <w:r/>
            <w:r>
              <w:rPr>
                <w:b/>
                <w:color w:val="1A7A1A"/>
                <w:sz w:val="18"/>
              </w:rPr>
              <w:t>PASS</w:t>
            </w:r>
          </w:p>
        </w:tc>
        <w:tc>
          <w:tcPr>
            <w:tcW w:type="dxa" w:w="5587"/>
          </w:tcPr>
          <w:p>
            <w:r/>
            <w:r>
              <w:rPr>
                <w:sz w:val="17"/>
              </w:rPr>
              <w:t>Same sentence in both artifacts.</w:t>
            </w:r>
          </w:p>
        </w:tc>
      </w:tr>
      <w:tr>
        <w:tc>
          <w:tcPr>
            <w:tcW w:type="dxa" w:w="461"/>
          </w:tcPr>
          <w:p>
            <w:r/>
            <w:r>
              <w:rPr>
                <w:sz w:val="18"/>
              </w:rPr>
              <w:t>12</w:t>
            </w:r>
          </w:p>
        </w:tc>
        <w:tc>
          <w:tcPr>
            <w:tcW w:type="dxa" w:w="3139"/>
          </w:tcPr>
          <w:p>
            <w:r/>
            <w:r>
              <w:rPr>
                <w:sz w:val="18"/>
              </w:rPr>
              <w:t>1–2 marked items = provisional + sensitivity</w:t>
            </w:r>
          </w:p>
        </w:tc>
        <w:tc>
          <w:tcPr>
            <w:tcW w:type="dxa" w:w="893"/>
            <w:shd w:val="clear" w:fill="D9EAD3"/>
          </w:tcPr>
          <w:p>
            <w:r/>
            <w:r>
              <w:rPr>
                <w:b/>
                <w:color w:val="1A7A1A"/>
                <w:sz w:val="18"/>
              </w:rPr>
              <w:t>PASS</w:t>
            </w:r>
          </w:p>
        </w:tc>
        <w:tc>
          <w:tcPr>
            <w:tcW w:type="dxa" w:w="5587"/>
          </w:tcPr>
          <w:p>
            <w:r/>
            <w:r>
              <w:rPr>
                <w:sz w:val="17"/>
              </w:rPr>
              <w:t>Deck slide 23 tier two and worksheet pages 4 and 7. The tier explicitly triggers the neighbouring-score sensitivity check.</w:t>
            </w:r>
          </w:p>
        </w:tc>
      </w:tr>
      <w:tr>
        <w:tc>
          <w:tcPr>
            <w:tcW w:type="dxa" w:w="461"/>
          </w:tcPr>
          <w:p>
            <w:r/>
            <w:r>
              <w:rPr>
                <w:sz w:val="18"/>
              </w:rPr>
              <w:t>13</w:t>
            </w:r>
          </w:p>
        </w:tc>
        <w:tc>
          <w:tcPr>
            <w:tcW w:type="dxa" w:w="3139"/>
          </w:tcPr>
          <w:p>
            <w:r/>
            <w:r>
              <w:rPr>
                <w:sz w:val="18"/>
              </w:rPr>
              <w:t>3+ marked items = incomplete axis</w:t>
            </w:r>
          </w:p>
        </w:tc>
        <w:tc>
          <w:tcPr>
            <w:tcW w:type="dxa" w:w="893"/>
            <w:shd w:val="clear" w:fill="D9EAD3"/>
          </w:tcPr>
          <w:p>
            <w:r/>
            <w:r>
              <w:rPr>
                <w:b/>
                <w:color w:val="1A7A1A"/>
                <w:sz w:val="18"/>
              </w:rPr>
              <w:t>PASS</w:t>
            </w:r>
          </w:p>
        </w:tc>
        <w:tc>
          <w:tcPr>
            <w:tcW w:type="dxa" w:w="5587"/>
          </w:tcPr>
          <w:p>
            <w:r/>
            <w:r>
              <w:rPr>
                <w:sz w:val="17"/>
              </w:rPr>
              <w:t>Deck slide 23 tier three and worksheet pages 4 and 7. Both say the participant does not place on that axis today and that incomplete is a legitimate reading.</w:t>
            </w:r>
          </w:p>
        </w:tc>
      </w:tr>
      <w:tr>
        <w:tc>
          <w:tcPr>
            <w:tcW w:type="dxa" w:w="461"/>
          </w:tcPr>
          <w:p>
            <w:r/>
            <w:r>
              <w:rPr>
                <w:sz w:val="18"/>
              </w:rPr>
              <w:t>14</w:t>
            </w:r>
          </w:p>
        </w:tc>
        <w:tc>
          <w:tcPr>
            <w:tcW w:type="dxa" w:w="3139"/>
          </w:tcPr>
          <w:p>
            <w:r/>
            <w:r>
              <w:rPr>
                <w:sz w:val="18"/>
              </w:rPr>
              <w:t>No neighbouring score tested below 1 or above 5</w:t>
            </w:r>
          </w:p>
        </w:tc>
        <w:tc>
          <w:tcPr>
            <w:tcW w:type="dxa" w:w="893"/>
            <w:shd w:val="clear" w:fill="D9EAD3"/>
          </w:tcPr>
          <w:p>
            <w:r/>
            <w:r>
              <w:rPr>
                <w:b/>
                <w:color w:val="1A7A1A"/>
                <w:sz w:val="18"/>
              </w:rPr>
              <w:t>PASS</w:t>
            </w:r>
          </w:p>
        </w:tc>
        <w:tc>
          <w:tcPr>
            <w:tcW w:type="dxa" w:w="5587"/>
          </w:tcPr>
          <w:p>
            <w:r/>
            <w:r>
              <w:rPr>
                <w:sz w:val="17"/>
              </w:rPr>
              <w:t>Stated inside the slide-23 procedure and on worksheet page 4.</w:t>
            </w:r>
          </w:p>
        </w:tc>
      </w:tr>
      <w:tr>
        <w:tc>
          <w:tcPr>
            <w:tcW w:type="dxa" w:w="461"/>
          </w:tcPr>
          <w:p>
            <w:r/>
            <w:r>
              <w:rPr>
                <w:sz w:val="18"/>
              </w:rPr>
              <w:t>15</w:t>
            </w:r>
          </w:p>
        </w:tc>
        <w:tc>
          <w:tcPr>
            <w:tcW w:type="dxa" w:w="3139"/>
          </w:tcPr>
          <w:p>
            <w:r/>
            <w:r>
              <w:rPr>
                <w:sz w:val="18"/>
              </w:rPr>
              <w:t>17–21 boundary band intact</w:t>
            </w:r>
          </w:p>
        </w:tc>
        <w:tc>
          <w:tcPr>
            <w:tcW w:type="dxa" w:w="893"/>
            <w:shd w:val="clear" w:fill="D9EAD3"/>
          </w:tcPr>
          <w:p>
            <w:r/>
            <w:r>
              <w:rPr>
                <w:b/>
                <w:color w:val="1A7A1A"/>
                <w:sz w:val="18"/>
              </w:rPr>
              <w:t>PASS</w:t>
            </w:r>
          </w:p>
        </w:tc>
        <w:tc>
          <w:tcPr>
            <w:tcW w:type="dxa" w:w="5587"/>
          </w:tcPr>
          <w:p>
            <w:r/>
            <w:r>
              <w:rPr>
                <w:sz w:val="17"/>
              </w:rPr>
              <w:t>On slide 23, and on every worksheet total block.</w:t>
            </w:r>
          </w:p>
        </w:tc>
      </w:tr>
      <w:tr>
        <w:tc>
          <w:tcPr>
            <w:tcW w:type="dxa" w:w="461"/>
          </w:tcPr>
          <w:p>
            <w:r/>
            <w:r>
              <w:rPr>
                <w:sz w:val="18"/>
              </w:rPr>
              <w:t>16</w:t>
            </w:r>
          </w:p>
        </w:tc>
        <w:tc>
          <w:tcPr>
            <w:tcW w:type="dxa" w:w="3139"/>
          </w:tcPr>
          <w:p>
            <w:r/>
            <w:r>
              <w:rPr>
                <w:sz w:val="18"/>
              </w:rPr>
              <w:t>Confidence is 1–5 in both reads</w:t>
            </w:r>
          </w:p>
        </w:tc>
        <w:tc>
          <w:tcPr>
            <w:tcW w:type="dxa" w:w="893"/>
            <w:shd w:val="clear" w:fill="D9EAD3"/>
          </w:tcPr>
          <w:p>
            <w:r/>
            <w:r>
              <w:rPr>
                <w:b/>
                <w:color w:val="1A7A1A"/>
                <w:sz w:val="18"/>
              </w:rPr>
              <w:t>PASS</w:t>
            </w:r>
          </w:p>
        </w:tc>
        <w:tc>
          <w:tcPr>
            <w:tcW w:type="dxa" w:w="5587"/>
          </w:tcPr>
          <w:p>
            <w:r/>
            <w:r>
              <w:rPr>
                <w:sz w:val="17"/>
              </w:rPr>
              <w:t>Deck slides 16 and 24, worksheet pages 3 and 7. The high/medium/low simplification is gone; zero occurrences remain.</w:t>
            </w:r>
          </w:p>
        </w:tc>
      </w:tr>
      <w:tr>
        <w:tc>
          <w:tcPr>
            <w:tcW w:type="dxa" w:w="461"/>
          </w:tcPr>
          <w:p>
            <w:r/>
            <w:r>
              <w:rPr>
                <w:sz w:val="18"/>
              </w:rPr>
              <w:t>17</w:t>
            </w:r>
          </w:p>
        </w:tc>
        <w:tc>
          <w:tcPr>
            <w:tcW w:type="dxa" w:w="3139"/>
          </w:tcPr>
          <w:p>
            <w:r/>
            <w:r>
              <w:rPr>
                <w:sz w:val="18"/>
              </w:rPr>
              <w:t>Four States unchanged</w:t>
            </w:r>
          </w:p>
        </w:tc>
        <w:tc>
          <w:tcPr>
            <w:tcW w:type="dxa" w:w="893"/>
            <w:shd w:val="clear" w:fill="D9EAD3"/>
          </w:tcPr>
          <w:p>
            <w:r/>
            <w:r>
              <w:rPr>
                <w:b/>
                <w:color w:val="1A7A1A"/>
                <w:sz w:val="18"/>
              </w:rPr>
              <w:t>PASS</w:t>
            </w:r>
          </w:p>
        </w:tc>
        <w:tc>
          <w:tcPr>
            <w:tcW w:type="dxa" w:w="5587"/>
          </w:tcPr>
          <w:p>
            <w:r/>
            <w:r>
              <w:rPr>
                <w:sz w:val="17"/>
              </w:rPr>
              <w:t>Slide 14 and worksheet page 7 carry all four with the v5.3.1 descriptions and the state-is-not-identity line.</w:t>
            </w:r>
          </w:p>
        </w:tc>
      </w:tr>
      <w:tr>
        <w:tc>
          <w:tcPr>
            <w:tcW w:type="dxa" w:w="461"/>
          </w:tcPr>
          <w:p>
            <w:r/>
            <w:r>
              <w:rPr>
                <w:sz w:val="18"/>
              </w:rPr>
              <w:t>18</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present on deck slide 27 and worksheet page 8, with the v5.3.1 descriptions.</w:t>
            </w:r>
          </w:p>
        </w:tc>
      </w:tr>
      <w:tr>
        <w:tc>
          <w:tcPr>
            <w:tcW w:type="dxa" w:w="461"/>
          </w:tcPr>
          <w:p>
            <w:r/>
            <w:r>
              <w:rPr>
                <w:sz w:val="18"/>
              </w:rPr>
              <w:t>19</w:t>
            </w:r>
          </w:p>
        </w:tc>
        <w:tc>
          <w:tcPr>
            <w:tcW w:type="dxa" w:w="3139"/>
          </w:tcPr>
          <w:p>
            <w:r/>
            <w:r>
              <w:rPr>
                <w:sz w:val="18"/>
              </w:rPr>
              <w:t>No square prescribes a category</w:t>
            </w:r>
          </w:p>
        </w:tc>
        <w:tc>
          <w:tcPr>
            <w:tcW w:type="dxa" w:w="893"/>
            <w:shd w:val="clear" w:fill="D9EAD3"/>
          </w:tcPr>
          <w:p>
            <w:r/>
            <w:r>
              <w:rPr>
                <w:b/>
                <w:color w:val="1A7A1A"/>
                <w:sz w:val="18"/>
              </w:rPr>
              <w:t>PASS</w:t>
            </w:r>
          </w:p>
        </w:tc>
        <w:tc>
          <w:tcPr>
            <w:tcW w:type="dxa" w:w="5587"/>
          </w:tcPr>
          <w:p>
            <w:r/>
            <w:r>
              <w:rPr>
                <w:sz w:val="17"/>
              </w:rPr>
              <w:t>Present on both, verbatim.</w:t>
            </w:r>
          </w:p>
        </w:tc>
      </w:tr>
      <w:tr>
        <w:tc>
          <w:tcPr>
            <w:tcW w:type="dxa" w:w="461"/>
          </w:tcPr>
          <w:p>
            <w:r/>
            <w:r>
              <w:rPr>
                <w:sz w:val="18"/>
              </w:rPr>
              <w:t>20</w:t>
            </w:r>
          </w:p>
        </w:tc>
        <w:tc>
          <w:tcPr>
            <w:tcW w:type="dxa" w:w="3139"/>
          </w:tcPr>
          <w:p>
            <w:r/>
            <w:r>
              <w:rPr>
                <w:sz w:val="18"/>
              </w:rPr>
              <w:t>No unsupported prevalence claims in active teaching</w:t>
            </w:r>
          </w:p>
        </w:tc>
        <w:tc>
          <w:tcPr>
            <w:tcW w:type="dxa" w:w="893"/>
            <w:shd w:val="clear" w:fill="D9EAD3"/>
          </w:tcPr>
          <w:p>
            <w:r/>
            <w:r>
              <w:rPr>
                <w:b/>
                <w:color w:val="1A7A1A"/>
                <w:sz w:val="18"/>
              </w:rPr>
              <w:t>PASS</w:t>
            </w:r>
          </w:p>
        </w:tc>
        <w:tc>
          <w:tcPr>
            <w:tcW w:type="dxa" w:w="5587"/>
          </w:tcPr>
          <w:p>
            <w:r/>
            <w:r>
              <w:rPr>
                <w:sz w:val="17"/>
              </w:rPr>
              <w:t>All five v1.0 occurrences removed. The surviving uses of “most” are the method's own “most defensible number”, the facilitator prohibition on saying “most people change”, and two non-prevalence phrasings.</w:t>
            </w:r>
          </w:p>
        </w:tc>
      </w:tr>
      <w:tr>
        <w:tc>
          <w:tcPr>
            <w:tcW w:type="dxa" w:w="461"/>
          </w:tcPr>
          <w:p>
            <w:r/>
            <w:r>
              <w:rPr>
                <w:sz w:val="18"/>
              </w:rPr>
              <w:t>21</w:t>
            </w:r>
          </w:p>
        </w:tc>
        <w:tc>
          <w:tcPr>
            <w:tcW w:type="dxa" w:w="3139"/>
          </w:tcPr>
          <w:p>
            <w:r/>
            <w:r>
              <w:rPr>
                <w:sz w:val="18"/>
              </w:rPr>
              <w:t>Slide 25 does not claim nothing is collected</w:t>
            </w:r>
          </w:p>
        </w:tc>
        <w:tc>
          <w:tcPr>
            <w:tcW w:type="dxa" w:w="893"/>
            <w:shd w:val="clear" w:fill="D9EAD3"/>
          </w:tcPr>
          <w:p>
            <w:r/>
            <w:r>
              <w:rPr>
                <w:b/>
                <w:color w:val="1A7A1A"/>
                <w:sz w:val="18"/>
              </w:rPr>
              <w:t>PASS</w:t>
            </w:r>
          </w:p>
        </w:tc>
        <w:tc>
          <w:tcPr>
            <w:tcW w:type="dxa" w:w="5587"/>
          </w:tcPr>
          <w:p>
            <w:r/>
            <w:r>
              <w:rPr>
                <w:sz w:val="17"/>
              </w:rPr>
              <w:t>The inaccurate sentence is gone. The four response options, the optional status and the no-singleton rule are unchanged.</w:t>
            </w:r>
          </w:p>
        </w:tc>
      </w:tr>
      <w:tr>
        <w:tc>
          <w:tcPr>
            <w:tcW w:type="dxa" w:w="461"/>
          </w:tcPr>
          <w:p>
            <w:r/>
            <w:r>
              <w:rPr>
                <w:sz w:val="18"/>
              </w:rPr>
              <w:t>22</w:t>
            </w:r>
          </w:p>
        </w:tc>
        <w:tc>
          <w:tcPr>
            <w:tcW w:type="dxa" w:w="3139"/>
          </w:tcPr>
          <w:p>
            <w:r/>
            <w:r>
              <w:rPr>
                <w:sz w:val="18"/>
              </w:rPr>
              <w:t>Recorded commercial close carries no hardcoded pricing</w:t>
            </w:r>
          </w:p>
        </w:tc>
        <w:tc>
          <w:tcPr>
            <w:tcW w:type="dxa" w:w="893"/>
            <w:shd w:val="clear" w:fill="D9EAD3"/>
          </w:tcPr>
          <w:p>
            <w:r/>
            <w:r>
              <w:rPr>
                <w:b/>
                <w:color w:val="1A7A1A"/>
                <w:sz w:val="18"/>
              </w:rPr>
              <w:t>PASS</w:t>
            </w:r>
          </w:p>
        </w:tc>
        <w:tc>
          <w:tcPr>
            <w:tcW w:type="dxa" w:w="5587"/>
          </w:tcPr>
          <w:p>
            <w:r/>
            <w:r>
              <w:rPr>
                <w:sz w:val="17"/>
              </w:rPr>
              <w:t>No currency figure appears anywhere on any slide face in the deck. Both routes and both descriptors remain on slide 29.</w:t>
            </w:r>
          </w:p>
        </w:tc>
      </w:tr>
      <w:tr>
        <w:tc>
          <w:tcPr>
            <w:tcW w:type="dxa" w:w="461"/>
          </w:tcPr>
          <w:p>
            <w:r/>
            <w:r>
              <w:rPr>
                <w:sz w:val="18"/>
              </w:rPr>
              <w:t>23</w:t>
            </w:r>
          </w:p>
        </w:tc>
        <w:tc>
          <w:tcPr>
            <w:tcW w:type="dxa" w:w="3139"/>
          </w:tcPr>
          <w:p>
            <w:r/>
            <w:r>
              <w:rPr>
                <w:sz w:val="18"/>
              </w:rPr>
              <w:t>Architecture still retains $150 and the $500+ private route</w:t>
            </w:r>
          </w:p>
        </w:tc>
        <w:tc>
          <w:tcPr>
            <w:tcW w:type="dxa" w:w="893"/>
            <w:shd w:val="clear" w:fill="D9EAD3"/>
          </w:tcPr>
          <w:p>
            <w:r/>
            <w:r>
              <w:rPr>
                <w:b/>
                <w:color w:val="1A7A1A"/>
                <w:sz w:val="18"/>
              </w:rPr>
              <w:t>PASS</w:t>
            </w:r>
          </w:p>
        </w:tc>
        <w:tc>
          <w:tcPr>
            <w:tcW w:type="dxa" w:w="5587"/>
          </w:tcPr>
          <w:p>
            <w:r/>
            <w:r>
              <w:rPr>
                <w:sz w:val="17"/>
              </w:rPr>
              <w:t>Internal pricing is preserved in the approved architecture document, which is where it belongs.</w:t>
            </w:r>
          </w:p>
        </w:tc>
      </w:tr>
      <w:tr>
        <w:tc>
          <w:tcPr>
            <w:tcW w:type="dxa" w:w="461"/>
          </w:tcPr>
          <w:p>
            <w:r/>
            <w:r>
              <w:rPr>
                <w:sz w:val="18"/>
              </w:rPr>
              <w:t>24</w:t>
            </w:r>
          </w:p>
        </w:tc>
        <w:tc>
          <w:tcPr>
            <w:tcW w:type="dxa" w:w="3139"/>
          </w:tcPr>
          <w:p>
            <w:r/>
            <w:r>
              <w:rPr>
                <w:sz w:val="18"/>
              </w:rPr>
              <w:t>Replay may be registration-gated</w:t>
            </w:r>
          </w:p>
        </w:tc>
        <w:tc>
          <w:tcPr>
            <w:tcW w:type="dxa" w:w="893"/>
            <w:shd w:val="clear" w:fill="D9EAD3"/>
          </w:tcPr>
          <w:p>
            <w:r/>
            <w:r>
              <w:rPr>
                <w:b/>
                <w:color w:val="1A7A1A"/>
                <w:sz w:val="18"/>
              </w:rPr>
              <w:t>PASS</w:t>
            </w:r>
          </w:p>
        </w:tc>
        <w:tc>
          <w:tcPr>
            <w:tcW w:type="dxa" w:w="5587"/>
          </w:tcPr>
          <w:p>
            <w:r/>
            <w:r>
              <w:rPr>
                <w:sz w:val="17"/>
              </w:rPr>
              <w:t>SOP Section 12 names it as the initial preferred model and public unrestricted distribution as a later strategic choice.</w:t>
            </w:r>
          </w:p>
        </w:tc>
      </w:tr>
      <w:tr>
        <w:tc>
          <w:tcPr>
            <w:tcW w:type="dxa" w:w="461"/>
          </w:tcPr>
          <w:p>
            <w:r/>
            <w:r>
              <w:rPr>
                <w:sz w:val="18"/>
              </w:rPr>
              <w:t>25</w:t>
            </w:r>
          </w:p>
        </w:tc>
        <w:tc>
          <w:tcPr>
            <w:tcW w:type="dxa" w:w="3139"/>
          </w:tcPr>
          <w:p>
            <w:r/>
            <w:r>
              <w:rPr>
                <w:sz w:val="18"/>
              </w:rPr>
              <w:t>Participant Q&amp;A excluded from the replay</w:t>
            </w:r>
          </w:p>
        </w:tc>
        <w:tc>
          <w:tcPr>
            <w:tcW w:type="dxa" w:w="893"/>
            <w:shd w:val="clear" w:fill="D9EAD3"/>
          </w:tcPr>
          <w:p>
            <w:r/>
            <w:r>
              <w:rPr>
                <w:b/>
                <w:color w:val="1A7A1A"/>
                <w:sz w:val="18"/>
              </w:rPr>
              <w:t>PASS</w:t>
            </w:r>
          </w:p>
        </w:tc>
        <w:tc>
          <w:tcPr>
            <w:tcW w:type="dxa" w:w="5587"/>
          </w:tcPr>
          <w:p>
            <w:r/>
            <w:r>
              <w:rPr>
                <w:sz w:val="17"/>
              </w:rPr>
              <w:t>Stated under every distribution model, and marked as a rule that does not vary.</w:t>
            </w:r>
          </w:p>
        </w:tc>
      </w:tr>
      <w:tr>
        <w:tc>
          <w:tcPr>
            <w:tcW w:type="dxa" w:w="461"/>
          </w:tcPr>
          <w:p>
            <w:r/>
            <w:r>
              <w:rPr>
                <w:sz w:val="18"/>
              </w:rPr>
              <w:t>26</w:t>
            </w:r>
          </w:p>
        </w:tc>
        <w:tc>
          <w:tcPr>
            <w:tcW w:type="dxa" w:w="3139"/>
          </w:tcPr>
          <w:p>
            <w:r/>
            <w:r>
              <w:rPr>
                <w:sz w:val="18"/>
              </w:rPr>
              <w:t>Participant microphones default muted while recording</w:t>
            </w:r>
          </w:p>
        </w:tc>
        <w:tc>
          <w:tcPr>
            <w:tcW w:type="dxa" w:w="893"/>
            <w:shd w:val="clear" w:fill="D9EAD3"/>
          </w:tcPr>
          <w:p>
            <w:r/>
            <w:r>
              <w:rPr>
                <w:b/>
                <w:color w:val="1A7A1A"/>
                <w:sz w:val="18"/>
              </w:rPr>
              <w:t>PASS</w:t>
            </w:r>
          </w:p>
        </w:tc>
        <w:tc>
          <w:tcPr>
            <w:tcW w:type="dxa" w:w="5587"/>
          </w:tcPr>
          <w:p>
            <w:r/>
            <w:r>
              <w:rPr>
                <w:sz w:val="17"/>
              </w:rPr>
              <w:t>SOP Section 6 opens with the rule for minutes 0–75 and carries the chat, unmute and personal-question handling that goes with it.</w:t>
            </w:r>
          </w:p>
        </w:tc>
      </w:tr>
      <w:tr>
        <w:tc>
          <w:tcPr>
            <w:tcW w:type="dxa" w:w="461"/>
          </w:tcPr>
          <w:p>
            <w:r/>
            <w:r>
              <w:rPr>
                <w:sz w:val="18"/>
              </w:rPr>
              <w:t>27</w:t>
            </w:r>
          </w:p>
        </w:tc>
        <w:tc>
          <w:tcPr>
            <w:tcW w:type="dxa" w:w="3139"/>
          </w:tcPr>
          <w:p>
            <w:r/>
            <w:r>
              <w:rPr>
                <w:sz w:val="18"/>
              </w:rPr>
              <w:t>Worksheet contains the exact statements</w:t>
            </w:r>
          </w:p>
        </w:tc>
        <w:tc>
          <w:tcPr>
            <w:tcW w:type="dxa" w:w="893"/>
            <w:shd w:val="clear" w:fill="D9EAD3"/>
          </w:tcPr>
          <w:p>
            <w:r/>
            <w:r>
              <w:rPr>
                <w:b/>
                <w:color w:val="1A7A1A"/>
                <w:sz w:val="18"/>
              </w:rPr>
              <w:t>PASS</w:t>
            </w:r>
          </w:p>
        </w:tc>
        <w:tc>
          <w:tcPr>
            <w:tcW w:type="dxa" w:w="5587"/>
          </w:tcPr>
          <w:p>
            <w:r/>
            <w:r>
              <w:rPr>
                <w:sz w:val="17"/>
              </w:rPr>
              <w:t>Twelve of twelve appear twice each — once on the initial read, once on the evidence-backed read — and match v5.3.1 exactly.</w:t>
            </w:r>
          </w:p>
        </w:tc>
      </w:tr>
      <w:tr>
        <w:tc>
          <w:tcPr>
            <w:tcW w:type="dxa" w:w="461"/>
          </w:tcPr>
          <w:p>
            <w:r/>
            <w:r>
              <w:rPr>
                <w:sz w:val="18"/>
              </w:rPr>
              <w:t>28</w:t>
            </w:r>
          </w:p>
        </w:tc>
        <w:tc>
          <w:tcPr>
            <w:tcW w:type="dxa" w:w="3139"/>
          </w:tcPr>
          <w:p>
            <w:r/>
            <w:r>
              <w:rPr>
                <w:sz w:val="18"/>
              </w:rPr>
              <w:t>Worksheet initial read contains no evidence lines</w:t>
            </w:r>
          </w:p>
        </w:tc>
        <w:tc>
          <w:tcPr>
            <w:tcW w:type="dxa" w:w="893"/>
            <w:shd w:val="clear" w:fill="D9EAD3"/>
          </w:tcPr>
          <w:p>
            <w:r/>
            <w:r>
              <w:rPr>
                <w:b/>
                <w:color w:val="1A7A1A"/>
                <w:sz w:val="18"/>
              </w:rPr>
              <w:t>PASS</w:t>
            </w:r>
          </w:p>
        </w:tc>
        <w:tc>
          <w:tcPr>
            <w:tcW w:type="dxa" w:w="5587"/>
          </w:tcPr>
          <w:p>
            <w:r/>
            <w:r>
              <w:rPr>
                <w:sz w:val="17"/>
              </w:rPr>
              <w:t>Pages 2 and 3 carry score fields only. There is no evidence field anywhere in the initial read, and the page states the omission is deliberate.</w:t>
            </w:r>
          </w:p>
        </w:tc>
      </w:tr>
      <w:tr>
        <w:tc>
          <w:tcPr>
            <w:tcW w:type="dxa" w:w="461"/>
          </w:tcPr>
          <w:p>
            <w:r/>
            <w:r>
              <w:rPr>
                <w:sz w:val="18"/>
              </w:rPr>
              <w:t>29</w:t>
            </w:r>
          </w:p>
        </w:tc>
        <w:tc>
          <w:tcPr>
            <w:tcW w:type="dxa" w:w="3139"/>
          </w:tcPr>
          <w:p>
            <w:r/>
            <w:r>
              <w:rPr>
                <w:sz w:val="18"/>
              </w:rPr>
              <w:t>Worksheet second read contains evidence phrases</w:t>
            </w:r>
          </w:p>
        </w:tc>
        <w:tc>
          <w:tcPr>
            <w:tcW w:type="dxa" w:w="893"/>
            <w:shd w:val="clear" w:fill="D9EAD3"/>
          </w:tcPr>
          <w:p>
            <w:r/>
            <w:r>
              <w:rPr>
                <w:b/>
                <w:color w:val="1A7A1A"/>
                <w:sz w:val="18"/>
              </w:rPr>
              <w:t>PASS</w:t>
            </w:r>
          </w:p>
        </w:tc>
        <w:tc>
          <w:tcPr>
            <w:tcW w:type="dxa" w:w="5587"/>
          </w:tcPr>
          <w:p>
            <w:r/>
            <w:r>
              <w:rPr>
                <w:sz w:val="17"/>
              </w:rPr>
              <w:t>Twelve evidence fields, one per statement, labelled EVIDENCE FROM THE LAST NINETY DAYS.</w:t>
            </w:r>
          </w:p>
        </w:tc>
      </w:tr>
      <w:tr>
        <w:tc>
          <w:tcPr>
            <w:tcW w:type="dxa" w:w="461"/>
          </w:tcPr>
          <w:p>
            <w:r/>
            <w:r>
              <w:rPr>
                <w:sz w:val="18"/>
              </w:rPr>
              <w:t>30</w:t>
            </w:r>
          </w:p>
        </w:tc>
        <w:tc>
          <w:tcPr>
            <w:tcW w:type="dxa" w:w="3139"/>
          </w:tcPr>
          <w:p>
            <w:r/>
            <w:r>
              <w:rPr>
                <w:sz w:val="18"/>
              </w:rPr>
              <w:t>Worksheet contains the sensitivity procedure</w:t>
            </w:r>
          </w:p>
        </w:tc>
        <w:tc>
          <w:tcPr>
            <w:tcW w:type="dxa" w:w="893"/>
            <w:shd w:val="clear" w:fill="D9EAD3"/>
          </w:tcPr>
          <w:p>
            <w:r/>
            <w:r>
              <w:rPr>
                <w:b/>
                <w:color w:val="1A7A1A"/>
                <w:sz w:val="18"/>
              </w:rPr>
              <w:t>PASS</w:t>
            </w:r>
          </w:p>
        </w:tc>
        <w:tc>
          <w:tcPr>
            <w:tcW w:type="dxa" w:w="5587"/>
          </w:tcPr>
          <w:p>
            <w:r/>
            <w:r>
              <w:rPr>
                <w:sz w:val="17"/>
              </w:rPr>
              <w:t>Page 4 teaches it; page 7 provides the corrected total, one-point-lower and one-point-higher fields for each axis.</w:t>
            </w:r>
          </w:p>
        </w:tc>
      </w:tr>
      <w:tr>
        <w:tc>
          <w:tcPr>
            <w:tcW w:type="dxa" w:w="461"/>
          </w:tcPr>
          <w:p>
            <w:r/>
            <w:r>
              <w:rPr>
                <w:sz w:val="18"/>
              </w:rPr>
              <w:t>31</w:t>
            </w:r>
          </w:p>
        </w:tc>
        <w:tc>
          <w:tcPr>
            <w:tcW w:type="dxa" w:w="3139"/>
          </w:tcPr>
          <w:p>
            <w:r/>
            <w:r>
              <w:rPr>
                <w:sz w:val="18"/>
              </w:rPr>
              <w:t>Worksheet says Next-Move Note, not Next-Move Decision</w:t>
            </w:r>
          </w:p>
        </w:tc>
        <w:tc>
          <w:tcPr>
            <w:tcW w:type="dxa" w:w="893"/>
            <w:shd w:val="clear" w:fill="D9EAD3"/>
          </w:tcPr>
          <w:p>
            <w:r/>
            <w:r>
              <w:rPr>
                <w:b/>
                <w:color w:val="1A7A1A"/>
                <w:sz w:val="18"/>
              </w:rPr>
              <w:t>PASS</w:t>
            </w:r>
          </w:p>
        </w:tc>
        <w:tc>
          <w:tcPr>
            <w:tcW w:type="dxa" w:w="5587"/>
          </w:tcPr>
          <w:p>
            <w:r/>
            <w:r>
              <w:rPr>
                <w:sz w:val="17"/>
              </w:rPr>
              <w:t>Page 8 is titled The Next-Move Note. The Intensive Edition's term appears nowhere.</w:t>
            </w:r>
          </w:p>
        </w:tc>
      </w:tr>
      <w:tr>
        <w:tc>
          <w:tcPr>
            <w:tcW w:type="dxa" w:w="461"/>
          </w:tcPr>
          <w:p>
            <w:r/>
            <w:r>
              <w:rPr>
                <w:sz w:val="18"/>
              </w:rPr>
              <w:t>32</w:t>
            </w:r>
          </w:p>
        </w:tc>
        <w:tc>
          <w:tcPr>
            <w:tcW w:type="dxa" w:w="3139"/>
          </w:tcPr>
          <w:p>
            <w:r/>
            <w:r>
              <w:rPr>
                <w:sz w:val="18"/>
              </w:rPr>
              <w:t>Worksheet contains no sales CTA</w:t>
            </w:r>
          </w:p>
        </w:tc>
        <w:tc>
          <w:tcPr>
            <w:tcW w:type="dxa" w:w="893"/>
            <w:shd w:val="clear" w:fill="D9EAD3"/>
          </w:tcPr>
          <w:p>
            <w:r/>
            <w:r>
              <w:rPr>
                <w:b/>
                <w:color w:val="1A7A1A"/>
                <w:sz w:val="18"/>
              </w:rPr>
              <w:t>PASS</w:t>
            </w:r>
          </w:p>
        </w:tc>
        <w:tc>
          <w:tcPr>
            <w:tcW w:type="dxa" w:w="5587"/>
          </w:tcPr>
          <w:p>
            <w:r/>
            <w:r>
              <w:rPr>
                <w:sz w:val="17"/>
              </w:rPr>
              <w:t>No price, product name, link, coupon or institutional enquiry anywhere in the eight pages. It is a participant artifact, not a brochure.</w:t>
            </w:r>
          </w:p>
        </w:tc>
      </w:tr>
      <w:tr>
        <w:tc>
          <w:tcPr>
            <w:tcW w:type="dxa" w:w="461"/>
          </w:tcPr>
          <w:p>
            <w:r/>
            <w:r>
              <w:rPr>
                <w:sz w:val="18"/>
              </w:rPr>
              <w:t>33</w:t>
            </w:r>
          </w:p>
        </w:tc>
        <w:tc>
          <w:tcPr>
            <w:tcW w:type="dxa" w:w="3139"/>
          </w:tcPr>
          <w:p>
            <w:r/>
            <w:r>
              <w:rPr>
                <w:sz w:val="18"/>
              </w:rPr>
              <w:t>No retired paid-workshop fulfillment code</w:t>
            </w:r>
          </w:p>
        </w:tc>
        <w:tc>
          <w:tcPr>
            <w:tcW w:type="dxa" w:w="893"/>
            <w:shd w:val="clear" w:fill="D9EAD3"/>
          </w:tcPr>
          <w:p>
            <w:r/>
            <w:r>
              <w:rPr>
                <w:b/>
                <w:color w:val="1A7A1A"/>
                <w:sz w:val="18"/>
              </w:rPr>
              <w:t>PASS</w:t>
            </w:r>
          </w:p>
        </w:tc>
        <w:tc>
          <w:tcPr>
            <w:tcW w:type="dxa" w:w="5587"/>
          </w:tcPr>
          <w:p>
            <w:r/>
            <w:r>
              <w:rPr>
                <w:sz w:val="17"/>
              </w:rPr>
              <w:t>Absent from all five artifacts. The SOP states the prohibition descriptively without reprinting the code.</w:t>
            </w:r>
          </w:p>
        </w:tc>
      </w:tr>
      <w:tr>
        <w:tc>
          <w:tcPr>
            <w:tcW w:type="dxa" w:w="461"/>
          </w:tcPr>
          <w:p>
            <w:r/>
            <w:r>
              <w:rPr>
                <w:sz w:val="18"/>
              </w:rPr>
              <w:t>34</w:t>
            </w:r>
          </w:p>
        </w:tc>
        <w:tc>
          <w:tcPr>
            <w:tcW w:type="dxa" w:w="3139"/>
          </w:tcPr>
          <w:p>
            <w:r/>
            <w:r>
              <w:rPr>
                <w:sz w:val="18"/>
              </w:rPr>
              <w:t>No 12-person cap</w:t>
            </w:r>
          </w:p>
        </w:tc>
        <w:tc>
          <w:tcPr>
            <w:tcW w:type="dxa" w:w="893"/>
            <w:shd w:val="clear" w:fill="D9EAD3"/>
          </w:tcPr>
          <w:p>
            <w:r/>
            <w:r>
              <w:rPr>
                <w:b/>
                <w:color w:val="1A7A1A"/>
                <w:sz w:val="18"/>
              </w:rPr>
              <w:t>PASS</w:t>
            </w:r>
          </w:p>
        </w:tc>
        <w:tc>
          <w:tcPr>
            <w:tcW w:type="dxa" w:w="5587"/>
          </w:tcPr>
          <w:p>
            <w:r/>
            <w:r>
              <w:rPr>
                <w:sz w:val="17"/>
              </w:rPr>
              <w:t>The only occurrence anywhere is inside the SOP's own “Do not use” prohibition list.</w:t>
            </w:r>
          </w:p>
        </w:tc>
      </w:tr>
      <w:tr>
        <w:tc>
          <w:tcPr>
            <w:tcW w:type="dxa" w:w="461"/>
          </w:tcPr>
          <w:p>
            <w:r/>
            <w:r>
              <w:rPr>
                <w:sz w:val="18"/>
              </w:rPr>
              <w:t>35</w:t>
            </w:r>
          </w:p>
        </w:tc>
        <w:tc>
          <w:tcPr>
            <w:tcW w:type="dxa" w:w="3139"/>
          </w:tcPr>
          <w:p>
            <w:r/>
            <w:r>
              <w:rPr>
                <w:sz w:val="18"/>
              </w:rPr>
              <w:t>September 16, 2026 is a Wednesday and is stated that way</w:t>
            </w:r>
          </w:p>
        </w:tc>
        <w:tc>
          <w:tcPr>
            <w:tcW w:type="dxa" w:w="893"/>
            <w:shd w:val="clear" w:fill="D9EAD3"/>
          </w:tcPr>
          <w:p>
            <w:r/>
            <w:r>
              <w:rPr>
                <w:b/>
                <w:color w:val="1A7A1A"/>
                <w:sz w:val="18"/>
              </w:rPr>
              <w:t>PASS</w:t>
            </w:r>
          </w:p>
        </w:tc>
        <w:tc>
          <w:tcPr>
            <w:tcW w:type="dxa" w:w="5587"/>
          </w:tcPr>
          <w:p>
            <w:r/>
            <w:r>
              <w:rPr>
                <w:sz w:val="17"/>
              </w:rPr>
              <w:t>Verified against the calendar: 16 September 2026 is a Wednesday. It appears on the hidden pre-session holding slide and in the SOP schedule.</w:t>
            </w:r>
          </w:p>
        </w:tc>
      </w:tr>
      <w:tr>
        <w:tc>
          <w:tcPr>
            <w:tcW w:type="dxa" w:w="461"/>
          </w:tcPr>
          <w:p>
            <w:r/>
            <w:r>
              <w:rPr>
                <w:sz w:val="18"/>
              </w:rPr>
              <w:t>36</w:t>
            </w:r>
          </w:p>
        </w:tc>
        <w:tc>
          <w:tcPr>
            <w:tcW w:type="dxa" w:w="3139"/>
          </w:tcPr>
          <w:p>
            <w:r/>
            <w:r>
              <w:rPr>
                <w:sz w:val="18"/>
              </w:rPr>
              <w:t>Live time is 6:00–7:30 PM CT</w:t>
            </w:r>
          </w:p>
        </w:tc>
        <w:tc>
          <w:tcPr>
            <w:tcW w:type="dxa" w:w="893"/>
            <w:shd w:val="clear" w:fill="D9EAD3"/>
          </w:tcPr>
          <w:p>
            <w:r/>
            <w:r>
              <w:rPr>
                <w:b/>
                <w:color w:val="1A7A1A"/>
                <w:sz w:val="18"/>
              </w:rPr>
              <w:t>PASS</w:t>
            </w:r>
          </w:p>
        </w:tc>
        <w:tc>
          <w:tcPr>
            <w:tcW w:type="dxa" w:w="5587"/>
          </w:tcPr>
          <w:p>
            <w:r/>
            <w:r>
              <w:rPr>
                <w:sz w:val="17"/>
              </w:rPr>
              <w:t>Ninety minutes. Central Time throughout; the single CST occurrence is the SOP's own instruction never to write it.</w:t>
            </w:r>
          </w:p>
        </w:tc>
      </w:tr>
      <w:tr>
        <w:tc>
          <w:tcPr>
            <w:tcW w:type="dxa" w:w="461"/>
          </w:tcPr>
          <w:p>
            <w:r/>
            <w:r>
              <w:rPr>
                <w:sz w:val="18"/>
              </w:rPr>
              <w:t>37</w:t>
            </w:r>
          </w:p>
        </w:tc>
        <w:tc>
          <w:tcPr>
            <w:tcW w:type="dxa" w:w="3139"/>
          </w:tcPr>
          <w:p>
            <w:r/>
            <w:r>
              <w:rPr>
                <w:sz w:val="18"/>
              </w:rPr>
              <w:t>Deck remains 90 minutes</w:t>
            </w:r>
          </w:p>
        </w:tc>
        <w:tc>
          <w:tcPr>
            <w:tcW w:type="dxa" w:w="893"/>
            <w:shd w:val="clear" w:fill="D9EAD3"/>
          </w:tcPr>
          <w:p>
            <w:r/>
            <w:r>
              <w:rPr>
                <w:b/>
                <w:color w:val="1A7A1A"/>
                <w:sz w:val="18"/>
              </w:rPr>
              <w:t>PASS</w:t>
            </w:r>
          </w:p>
        </w:tc>
        <w:tc>
          <w:tcPr>
            <w:tcW w:type="dxa" w:w="5587"/>
          </w:tcPr>
          <w:p>
            <w:r/>
            <w:r>
              <w:rPr>
                <w:sz w:val="17"/>
              </w:rPr>
              <w:t>Title slide says FREE FLAGSHIP · 90 MINUTES; the timing notes run 0:00 to 90:00 continuously with no gap and no overlap.</w:t>
            </w:r>
          </w:p>
        </w:tc>
      </w:tr>
      <w:tr>
        <w:tc>
          <w:tcPr>
            <w:tcW w:type="dxa" w:w="461"/>
          </w:tcPr>
          <w:p>
            <w:r/>
            <w:r>
              <w:rPr>
                <w:sz w:val="18"/>
              </w:rPr>
              <w:t>38</w:t>
            </w:r>
          </w:p>
        </w:tc>
        <w:tc>
          <w:tcPr>
            <w:tcW w:type="dxa" w:w="3139"/>
          </w:tcPr>
          <w:p>
            <w:r/>
            <w:r>
              <w:rPr>
                <w:sz w:val="18"/>
              </w:rPr>
              <w:t>Recorded core remains 0–75</w:t>
            </w:r>
          </w:p>
        </w:tc>
        <w:tc>
          <w:tcPr>
            <w:tcW w:type="dxa" w:w="893"/>
            <w:shd w:val="clear" w:fill="D9EAD3"/>
          </w:tcPr>
          <w:p>
            <w:r/>
            <w:r>
              <w:rPr>
                <w:b/>
                <w:color w:val="1A7A1A"/>
                <w:sz w:val="18"/>
              </w:rPr>
              <w:t>PASS</w:t>
            </w:r>
          </w:p>
        </w:tc>
        <w:tc>
          <w:tcPr>
            <w:tcW w:type="dxa" w:w="5587"/>
          </w:tcPr>
          <w:p>
            <w:r/>
            <w:r>
              <w:rPr>
                <w:sz w:val="17"/>
              </w:rPr>
              <w:t>Slide 30 is the last recorded slide and its note carries the stop instruction.</w:t>
            </w:r>
          </w:p>
        </w:tc>
      </w:tr>
      <w:tr>
        <w:tc>
          <w:tcPr>
            <w:tcW w:type="dxa" w:w="461"/>
          </w:tcPr>
          <w:p>
            <w:r/>
            <w:r>
              <w:rPr>
                <w:sz w:val="18"/>
              </w:rPr>
              <w:t>39</w:t>
            </w:r>
          </w:p>
        </w:tc>
        <w:tc>
          <w:tcPr>
            <w:tcW w:type="dxa" w:w="3139"/>
          </w:tcPr>
          <w:p>
            <w:r/>
            <w:r>
              <w:rPr>
                <w:sz w:val="18"/>
              </w:rPr>
              <w:t>Q&amp;A remains 75–90 and live only</w:t>
            </w:r>
          </w:p>
        </w:tc>
        <w:tc>
          <w:tcPr>
            <w:tcW w:type="dxa" w:w="893"/>
            <w:shd w:val="clear" w:fill="D9EAD3"/>
          </w:tcPr>
          <w:p>
            <w:r/>
            <w:r>
              <w:rPr>
                <w:b/>
                <w:color w:val="1A7A1A"/>
                <w:sz w:val="18"/>
              </w:rPr>
              <w:t>PASS</w:t>
            </w:r>
          </w:p>
        </w:tc>
        <w:tc>
          <w:tcPr>
            <w:tcW w:type="dxa" w:w="5587"/>
          </w:tcPr>
          <w:p>
            <w:r/>
            <w:r>
              <w:rPr>
                <w:sz w:val="17"/>
              </w:rPr>
              <w:t>Slide 31 is marked LIVE ONLY · NOT IN THE PUBLIC REPLAY on its face and RECORDING OFF in its note.</w:t>
            </w:r>
          </w:p>
        </w:tc>
      </w:tr>
      <w:tr>
        <w:tc>
          <w:tcPr>
            <w:tcW w:type="dxa" w:w="461"/>
          </w:tcPr>
          <w:p>
            <w:r/>
            <w:r>
              <w:rPr>
                <w:sz w:val="18"/>
              </w:rPr>
              <w:t>40</w:t>
            </w:r>
          </w:p>
        </w:tc>
        <w:tc>
          <w:tcPr>
            <w:tcW w:type="dxa" w:w="3139"/>
          </w:tcPr>
          <w:p>
            <w:r/>
            <w:r>
              <w:rPr>
                <w:sz w:val="18"/>
              </w:rPr>
              <w:t>Institutional optional close intact and structure unchanged</w:t>
            </w:r>
          </w:p>
        </w:tc>
        <w:tc>
          <w:tcPr>
            <w:tcW w:type="dxa" w:w="893"/>
            <w:shd w:val="clear" w:fill="D9EAD3"/>
          </w:tcPr>
          <w:p>
            <w:r/>
            <w:r>
              <w:rPr>
                <w:b/>
                <w:color w:val="1A7A1A"/>
                <w:sz w:val="18"/>
              </w:rPr>
              <w:t>PASS</w:t>
            </w:r>
          </w:p>
        </w:tc>
        <w:tc>
          <w:tcPr>
            <w:tcW w:type="dxa" w:w="5587"/>
          </w:tcPr>
          <w:p>
            <w:r/>
            <w:r>
              <w:rPr>
                <w:sz w:val="17"/>
              </w:rPr>
              <w:t>31 live + 6 hidden = 37 slides, identical to v1.0. Hidden slide 36 remains the optional institutional close, with no pricing and no product CTA.</w:t>
            </w:r>
          </w:p>
        </w:tc>
      </w:tr>
    </w:tbl>
    <w:p>
      <w:pPr>
        <w:spacing w:after="120"/>
      </w:pPr>
    </w:p>
    <w:p>
      <w:pPr>
        <w:spacing w:before="120" w:after="120"/>
      </w:pPr>
      <w:r>
        <w:rPr>
          <w:color w:val="555555"/>
          <w:sz w:val="16"/>
        </w:rPr>
        <w:t>――――――――――――――――――――――――――――――――――――――――――――――――――――――――――――――――――――――――――――――――――――――――――</w:t>
      </w:r>
    </w:p>
    <w:p>
      <w:pPr>
        <w:spacing w:before="320" w:after="160"/>
      </w:pPr>
      <w:r>
        <w:rPr>
          <w:b/>
          <w:color w:val="0F2347"/>
          <w:sz w:val="32"/>
        </w:rPr>
        <w:t>Overall result</w:t>
      </w:r>
    </w:p>
    <w:p>
      <w:pPr>
        <w:spacing w:after="160"/>
      </w:pPr>
      <w:r>
        <w:rPr>
          <w:b/>
          <w:i w:val="0"/>
          <w:color w:val="0F2347"/>
          <w:sz w:val="21"/>
        </w:rPr>
        <w:t>40 of 40 PASS. Method integrity is intact and every v1.1 change landed as specified.</w:t>
      </w:r>
    </w:p>
    <w:p>
      <w:pPr>
        <w:spacing w:after="160"/>
      </w:pPr>
      <w:r>
        <w:rPr>
          <w:b/>
          <w:i w:val="0"/>
          <w:color w:val="B00000"/>
          <w:sz w:val="21"/>
        </w:rPr>
        <w:t>v1.1 REMAINS A CANDIDATE. It is not FINAL and must not be promoted to FINAL on the strength of this report.</w:t>
      </w:r>
    </w:p>
    <w:p>
      <w:pPr>
        <w:spacing w:before="120" w:after="120"/>
      </w:pPr>
      <w:r>
        <w:rPr>
          <w:color w:val="555555"/>
          <w:sz w:val="16"/>
        </w:rPr>
        <w:t>――――――――――――――――――――――――――――――――――――――――――――――――――――――――――――――――――――――――――――――――――――――――――</w:t>
      </w:r>
    </w:p>
    <w:p>
      <w:pPr>
        <w:spacing w:before="320" w:after="160"/>
      </w:pPr>
      <w:r>
        <w:rPr>
          <w:b/>
          <w:color w:val="0F2347"/>
          <w:sz w:val="32"/>
        </w:rPr>
        <w:t>Visual QA — what was and was not done</w:t>
      </w:r>
    </w:p>
    <w:p>
      <w:pPr>
        <w:spacing w:after="160"/>
      </w:pPr>
      <w:r>
        <w:rPr>
          <w:b/>
          <w:i w:val="0"/>
          <w:color w:val="000000"/>
          <w:sz w:val="20"/>
        </w:rPr>
        <w:t>WORKSHEET — REAL RENDER, PERFORMED.</w:t>
      </w:r>
    </w:p>
    <w:p>
      <w:pPr>
        <w:spacing w:after="160"/>
      </w:pPr>
      <w:r>
        <w:rPr>
          <w:b w:val="0"/>
          <w:i w:val="0"/>
          <w:color w:val="000000"/>
          <w:sz w:val="19"/>
        </w:rPr>
        <w:t>PyMuPDF is available in this environment, so all eight worksheet pages were rasterised from the built PDF and inspected. Four real defects were found and fixed: a persistent character-spacing state that pushed body text past the right margin on every page; a duplicated score hint on the evidence pages; colliding column headers and input boxes in the sensitivity block; and a paragraph whose return value was discarded, which stacked the worked example on top of the text above it. A hard bottom-margin assertion was then added to the build, so a page that overruns the footer now fails the build instead of shipping. It fired twice during this pass and both overruns were fixed. The final render shows no overlap, no clipped text, no page overflow and no unreadably small type.</w:t>
      </w:r>
    </w:p>
    <w:p>
      <w:pPr>
        <w:spacing w:after="160"/>
      </w:pPr>
      <w:r>
        <w:rPr>
          <w:b w:val="0"/>
          <w:i w:val="0"/>
          <w:color w:val="000000"/>
          <w:sz w:val="19"/>
        </w:rPr>
        <w:t>The worksheet ships with its real typefaces — Cormorant Garamond, DM Sans and Montserrat — embedded, so the render inspected is the document a participant will see.</w:t>
      </w:r>
    </w:p>
    <w:p>
      <w:pPr>
        <w:spacing w:after="160"/>
      </w:pPr>
      <w:r>
        <w:rPr>
          <w:b/>
          <w:i w:val="0"/>
          <w:color w:val="B00000"/>
          <w:sz w:val="20"/>
        </w:rPr>
        <w:t>DECK — NO REAL RENDER. NOT PERFORMED.</w:t>
      </w:r>
    </w:p>
    <w:p>
      <w:pPr>
        <w:spacing w:after="160"/>
      </w:pPr>
      <w:r>
        <w:rPr>
          <w:b w:val="0"/>
          <w:i w:val="0"/>
          <w:color w:val="000000"/>
          <w:sz w:val="19"/>
        </w:rPr>
        <w:t>LibreOffice remains non-functional in this environment; it fails to load any source file, including a minimal test document, so no PPTX was converted and no slide was rendered. The deck's geometry was checked with a proxy that draws each slide from its real shape coordinates, fills and text — positions, sizes, colours, wrapping and z-order are real, glyph shapes are approximate. That is a geometry check, not a PowerPoint render, and it is not being reported as one. Slide 23 was rebuilt in this pass and has NOT been seen in PowerPoint or Google Slides.</w:t>
      </w:r>
    </w:p>
    <w:p>
      <w:pPr>
        <w:spacing w:after="160"/>
      </w:pPr>
      <w:r>
        <w:rPr>
          <w:b w:val="0"/>
          <w:i/>
          <w:color w:val="555555"/>
          <w:sz w:val="18"/>
        </w:rPr>
        <w:t>The following remain visually unverified in the deck and must be checked on first open: slide 23's three-tier layout, the removal of the two price lines on slide 29, font substitution behaviour, and the hidden state of slides 32–37 in presenter view.</w:t>
      </w:r>
    </w:p>
    <w:p>
      <w:pPr>
        <w:spacing w:before="120" w:after="120"/>
      </w:pPr>
      <w:r>
        <w:rPr>
          <w:color w:val="555555"/>
          <w:sz w:val="16"/>
        </w:rPr>
        <w:t>――――――――――――――――――――――――――――――――――――――――――――――――――――――――――――――――――――――――――――――――――――――――――</w:t>
      </w:r>
    </w:p>
    <w:p>
      <w:pPr>
        <w:spacing w:before="320" w:after="160"/>
      </w:pPr>
      <w:r>
        <w:rPr>
          <w:b/>
          <w:color w:val="0F2347"/>
          <w:sz w:val="32"/>
        </w:rPr>
        <w:t>What stands between v1.1 CANDIDATE and FINAL</w:t>
      </w:r>
    </w:p>
    <w:p>
      <w:pPr>
        <w:pStyle w:val="ListBullet"/>
        <w:spacing w:after="60"/>
      </w:pPr>
      <w:r>
        <w:rPr>
          <w:color w:val="000000"/>
          <w:sz w:val="19"/>
        </w:rPr>
        <w:t>A visual review of the deck in PowerPoint or Google Slides, with particular attention to the rebuilt slide 23 and the reflowed slide 29.</w:t>
      </w:r>
    </w:p>
    <w:p>
      <w:pPr>
        <w:pStyle w:val="ListBullet"/>
        <w:spacing w:after="60"/>
      </w:pPr>
      <w:r>
        <w:rPr>
          <w:color w:val="000000"/>
          <w:sz w:val="19"/>
        </w:rPr>
        <w:t>Two full timed rehearsals recorded on Free_Flagship_Rehearsal_Timing_Sheet_v1.0, confirming that the 30–42 evidence block genuinely works.</w:t>
      </w:r>
    </w:p>
    <w:p>
      <w:pPr>
        <w:pStyle w:val="ListBullet"/>
        <w:spacing w:after="60"/>
      </w:pPr>
      <w:r>
        <w:rPr>
          <w:color w:val="000000"/>
          <w:sz w:val="19"/>
        </w:rPr>
        <w:t>One pass through the worksheet in a real PDF reader — Acrobat or Preview — confirming that the score fields, the question-mark entry on the corrected read and the automatic totals behave as intended in the reader Temidayo will recommend.</w:t>
      </w:r>
    </w:p>
    <w:p>
      <w:pPr>
        <w:spacing w:after="160"/>
      </w:pPr>
      <w:r>
        <w:rPr>
          <w:b/>
          <w:i w:val="0"/>
          <w:color w:val="B00000"/>
          <w:sz w:val="19"/>
        </w:rPr>
        <w:t>Until those three are done, nothing in this family is FINAL.</w:t>
      </w:r>
    </w:p>
    <w:p>
      <w:pPr>
        <w:spacing w:before="120" w:after="120"/>
      </w:pPr>
      <w:r>
        <w:rPr>
          <w:color w:val="555555"/>
          <w:sz w:val="16"/>
        </w:rPr>
        <w:t>――――――――――――――――――――――――――――――――――――――――――――――――――――――――――――――――――――――――――――――――――――――――――</w:t>
      </w:r>
    </w:p>
    <w:p>
      <w:pPr>
        <w:spacing w:after="0"/>
      </w:pPr>
      <w:r>
        <w:rPr>
          <w:b w:val="0"/>
          <w:i/>
          <w:color w:val="555555"/>
          <w:sz w:val="16"/>
        </w:rPr>
        <w:t>FREE FLAGSHIP — v1.1 CROSS-ASSET QA REPORT  ·  INTERNAL ONLY  ·  Revised: Friday, August 14, 2026, 11:45 AM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