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Free Flagship v1.2 Change Log</w:t>
            </w:r>
          </w:p>
          <w:p>
            <w:r>
              <w:rPr>
                <w:i/>
                <w:color w:val="E3D9C4"/>
                <w:sz w:val="22"/>
              </w:rPr>
              <w:t>Verified-defect corrections + the three-slide conversion sequence  ·  Revised: Friday, August 14, 2026, 12:16 PM Central Time</w:t>
            </w:r>
          </w:p>
        </w:tc>
      </w:tr>
    </w:tbl>
    <w:p>
      <w:pPr>
        <w:spacing w:after="80"/>
      </w:pPr>
    </w:p>
    <w:p>
      <w:pPr>
        <w:spacing w:after="160"/>
      </w:pPr>
      <w:r>
        <w:rPr>
          <w:b/>
          <w:i w:val="0"/>
          <w:color w:val="000000"/>
          <w:sz w:val="19"/>
        </w:rPr>
        <w:t>Two things happened in this pass, in this order: eight verified defects in the v1.1 family were corrected, and then the single commercial slide was replaced by a three-slide self-segmentation sequence. v1.1 was not overwritten.</w:t>
      </w:r>
    </w:p>
    <w:p>
      <w:pPr>
        <w:spacing w:before="120" w:after="120"/>
      </w:pPr>
      <w:r>
        <w:rPr>
          <w:color w:val="555555"/>
          <w:sz w:val="16"/>
        </w:rPr>
        <w:t>――――――――――――――――――――――――――――――――――――――――――――――――――――――――――――――――――――――――――――――――――――――――――</w:t>
      </w:r>
    </w:p>
    <w:p>
      <w:pPr>
        <w:spacing w:before="320" w:after="160"/>
      </w:pPr>
      <w:r>
        <w:rPr>
          <w:b/>
          <w:color w:val="0F2347"/>
          <w:sz w:val="32"/>
        </w:rPr>
        <w:t>Part A — the eight verified defects</w:t>
      </w:r>
    </w:p>
    <w:tbl>
      <w:tblPr>
        <w:tblW w:type="auto" w:w="0"/>
        <w:tblLayout w:type="fixed"/>
        <w:tblLook w:firstColumn="1" w:firstRow="1" w:lastColumn="0" w:lastRow="0" w:noHBand="0" w:noVBand="1" w:val="04A0"/>
      </w:tblPr>
      <w:tblGrid>
        <w:gridCol w:w="5040"/>
        <w:gridCol w:w="5040"/>
      </w:tblGrid>
      <w:tr>
        <w:tc>
          <w:tcPr>
            <w:tcW w:type="dxa" w:w="3312"/>
            <w:shd w:val="clear" w:fill="0F2347"/>
          </w:tcPr>
          <w:p>
            <w:r/>
            <w:r>
              <w:rPr>
                <w:b/>
                <w:color w:val="FFFFFF"/>
                <w:sz w:val="19"/>
              </w:rPr>
              <w:t>Defect</w:t>
            </w:r>
          </w:p>
        </w:tc>
        <w:tc>
          <w:tcPr>
            <w:tcW w:type="dxa" w:w="6336"/>
            <w:shd w:val="clear" w:fill="0F2347"/>
          </w:tcPr>
          <w:p>
            <w:r/>
            <w:r>
              <w:rPr>
                <w:b/>
                <w:color w:val="FFFFFF"/>
                <w:sz w:val="19"/>
              </w:rPr>
              <w:t>What changed</w:t>
            </w:r>
          </w:p>
        </w:tc>
      </w:tr>
      <w:tr>
        <w:tc>
          <w:tcPr>
            <w:tcW w:type="dxa" w:w="3312"/>
          </w:tcPr>
          <w:p>
            <w:r/>
            <w:r>
              <w:rPr>
                <w:b/>
                <w:sz w:val="19"/>
              </w:rPr>
              <w:t>1 — SOP Section 17, governing deck</w:t>
            </w:r>
          </w:p>
        </w:tc>
        <w:tc>
          <w:tcPr>
            <w:tcW w:type="dxa" w:w="6336"/>
          </w:tcPr>
          <w:p>
            <w:r/>
            <w:r>
              <w:rPr>
                <w:sz w:val="19"/>
              </w:rPr>
              <w:t>Was pointing at FREE_FLAGSHIP_v1.0_CANDIDATE.pptx, two versions stale. Now names the deck this pass produced: v1.2 CANDIDATE, 39 slides, 33 live, 6 hidden. The worksheet was added to the same map, which had never listed it.</w:t>
            </w:r>
          </w:p>
        </w:tc>
      </w:tr>
      <w:tr>
        <w:tc>
          <w:tcPr>
            <w:tcW w:type="dxa" w:w="3312"/>
          </w:tcPr>
          <w:p>
            <w:r/>
            <w:r>
              <w:rPr>
                <w:b/>
                <w:sz w:val="19"/>
              </w:rPr>
              <w:t>1 — SOP Section 17, architecture</w:t>
            </w:r>
          </w:p>
        </w:tc>
        <w:tc>
          <w:tcPr>
            <w:tcW w:type="dxa" w:w="6336"/>
          </w:tcPr>
          <w:p>
            <w:r/>
            <w:r>
              <w:rPr>
                <w:sz w:val="19"/>
              </w:rPr>
              <w:t>Individual_Offer_Architecture_v1.0.docx is now labelled governing architecture, READ-ONLY and not edited by this SOP family. The build script continues to disable its build block so it cannot be regenerated by accident.</w:t>
            </w:r>
          </w:p>
        </w:tc>
      </w:tr>
      <w:tr>
        <w:tc>
          <w:tcPr>
            <w:tcW w:type="dxa" w:w="3312"/>
          </w:tcPr>
          <w:p>
            <w:r/>
            <w:r>
              <w:rPr>
                <w:b/>
                <w:sz w:val="19"/>
              </w:rPr>
              <w:t>2 — SOP Section 18, unbuilt list</w:t>
            </w:r>
          </w:p>
        </w:tc>
        <w:tc>
          <w:tcPr>
            <w:tcW w:type="dxa" w:w="6336"/>
          </w:tcPr>
          <w:p>
            <w:r/>
            <w:r>
              <w:rPr>
                <w:sz w:val="19"/>
              </w:rPr>
              <w:t>Removed the claim that the streamlined free flagship worksheet is unbuilt, and the claim that the deck still carries a worksheet placeholder. Both were false as of v1.1: the worksheet exists and the placeholder was removed then. Verified: the string TO BE BUILT IN NEXT PHASE appears in no speaker note.</w:t>
            </w:r>
          </w:p>
        </w:tc>
      </w:tr>
      <w:tr>
        <w:tc>
          <w:tcPr>
            <w:tcW w:type="dxa" w:w="3312"/>
          </w:tcPr>
          <w:p>
            <w:r/>
            <w:r>
              <w:rPr>
                <w:b/>
                <w:sz w:val="19"/>
              </w:rPr>
              <w:t>3 — SOP Section 13, Private Read price</w:t>
            </w:r>
          </w:p>
        </w:tc>
        <w:tc>
          <w:tcPr>
            <w:tcW w:type="dxa" w:w="6336"/>
          </w:tcPr>
          <w:p>
            <w:r/>
            <w:r>
              <w:rPr>
                <w:sz w:val="19"/>
              </w:rPr>
              <w:t>“Starting at $500” becomes “$500”. The section now states the individual source of truth outright — Field Kit exactly $150, Private Capability Position Read exactly $500 — and records that it is not “starting at”, not “$500+”, not a package, and not coaching or consulting.</w:t>
            </w:r>
          </w:p>
        </w:tc>
      </w:tr>
      <w:tr>
        <w:tc>
          <w:tcPr>
            <w:tcW w:type="dxa" w:w="3312"/>
          </w:tcPr>
          <w:p>
            <w:r/>
            <w:r>
              <w:rPr>
                <w:b/>
                <w:sz w:val="19"/>
              </w:rPr>
              <w:t>4 — Appendix slide, low Optionality</w:t>
            </w:r>
          </w:p>
        </w:tc>
        <w:tc>
          <w:tcPr>
            <w:tcW w:type="dxa" w:w="6336"/>
          </w:tcPr>
          <w:p>
            <w:r/>
            <w:r>
              <w:rPr>
                <w:sz w:val="19"/>
              </w:rPr>
              <w:t>“Most low Optionality scores are translation and exposure problems, not ability problems” is replaced with the governing sentence: a low Optionality score may reflect context-bound capability, weak translation, limited exposure, or a combination, and is not a verdict on ability or worth. This matches v5.3.1 slides 19 and 27.</w:t>
            </w:r>
          </w:p>
        </w:tc>
      </w:tr>
      <w:tr>
        <w:tc>
          <w:tcPr>
            <w:tcW w:type="dxa" w:w="3312"/>
          </w:tcPr>
          <w:p>
            <w:r/>
            <w:r>
              <w:rPr>
                <w:b/>
                <w:sz w:val="19"/>
              </w:rPr>
              <w:t>4 — prevalence sweep, three more found</w:t>
            </w:r>
          </w:p>
        </w:tc>
        <w:tc>
          <w:tcPr>
            <w:tcW w:type="dxa" w:w="6336"/>
          </w:tcPr>
          <w:p>
            <w:r/>
            <w:r>
              <w:rPr>
                <w:sz w:val="19"/>
              </w:rPr>
              <w:t>The sweep over most / usually / frequently / most common / typical / generally found three further unsupported claims, all of them written in v1.1 and all in speaker notes: participants with no marked items “frequently sit through” the procedure; the rules are “frequently dropped by people repeating the method”; participant questions “frequently contain” employer names. All three now say can rather than frequently. Nine phrases are checked by the QA report; none survives.</w:t>
            </w:r>
          </w:p>
        </w:tc>
      </w:tr>
      <w:tr>
        <w:tc>
          <w:tcPr>
            <w:tcW w:type="dxa" w:w="3312"/>
          </w:tcPr>
          <w:p>
            <w:r/>
            <w:r>
              <w:rPr>
                <w:b/>
                <w:sz w:val="19"/>
              </w:rPr>
              <w:t>5 — replay terminology</w:t>
            </w:r>
          </w:p>
        </w:tc>
        <w:tc>
          <w:tcPr>
            <w:tcW w:type="dxa" w:w="6336"/>
          </w:tcPr>
          <w:p>
            <w:r/>
            <w:r>
              <w:rPr>
                <w:sz w:val="19"/>
              </w:rPr>
              <w:t>“Public replay” is gone from every participant-facing face. The boundary/recording slide reads “not part of the evergreen replay”; the Q&amp;A slide reads LIVE ONLY · NOT IN THE EVERGREEN REPLAY. The recording note now says trim the evergreen replay, and the Q&amp;A note says the block is excluded under every distribution model, including a registration-gated one. Nothing implies unrestricted public access is required.</w:t>
            </w:r>
          </w:p>
        </w:tc>
      </w:tr>
      <w:tr>
        <w:tc>
          <w:tcPr>
            <w:tcW w:type="dxa" w:w="3312"/>
          </w:tcPr>
          <w:p>
            <w:r/>
            <w:r>
              <w:rPr>
                <w:b/>
                <w:sz w:val="19"/>
              </w:rPr>
              <w:t>6 — worksheet corrected-score validation</w:t>
            </w:r>
          </w:p>
        </w:tc>
        <w:tc>
          <w:tcPr>
            <w:tcW w:type="dxa" w:w="6336"/>
          </w:tcPr>
          <w:p>
            <w:r/>
            <w:r>
              <w:rPr>
                <w:sz w:val="19"/>
              </w:rPr>
              <w:t>The v1.1 regex permitted a bare question mark. A mark with no number under it is not a score — the convention is “your most defensible number, marked once”. The field now accepts blank, 1, 2, 3, 4, 5, 1?, 2?, 3?, 4? and 5?, and nothing else. Enforced twice: as a keystroke filter and as a commit validator with a plain-language message. Eighteen cases were tested, including 0, 6, 3??, 33, letters and a trailing space.</w:t>
            </w:r>
          </w:p>
        </w:tc>
      </w:tr>
      <w:tr>
        <w:tc>
          <w:tcPr>
            <w:tcW w:type="dxa" w:w="3312"/>
          </w:tcPr>
          <w:p>
            <w:r/>
            <w:r>
              <w:rPr>
                <w:b/>
                <w:sz w:val="19"/>
              </w:rPr>
              <w:t>7 — worksheet total fields</w:t>
            </w:r>
          </w:p>
        </w:tc>
        <w:tc>
          <w:tcPr>
            <w:tcW w:type="dxa" w:w="6336"/>
          </w:tcPr>
          <w:p>
            <w:r/>
            <w:r>
              <w:rPr>
                <w:sz w:val="19"/>
              </w:rPr>
              <w:t>The four totals were read-only because JavaScript calculated them, which meant a reader without form JavaScript left the participant unable to enter a total at all without printing. The read-only flag is removed and the calculate action kept: the totals compute where supported and can always be typed. Every total block now says so on the page.</w:t>
            </w:r>
          </w:p>
        </w:tc>
      </w:tr>
      <w:tr>
        <w:tc>
          <w:tcPr>
            <w:tcW w:type="dxa" w:w="3312"/>
          </w:tcPr>
          <w:p>
            <w:r/>
            <w:r>
              <w:rPr>
                <w:b/>
                <w:sz w:val="19"/>
              </w:rPr>
              <w:t>8 — QA re-run</w:t>
            </w:r>
          </w:p>
        </w:tc>
        <w:tc>
          <w:tcPr>
            <w:tcW w:type="dxa" w:w="6336"/>
          </w:tcPr>
          <w:p>
            <w:r/>
            <w:r>
              <w:rPr>
                <w:sz w:val="19"/>
              </w:rPr>
              <w:t>Nothing is carried forward from the v1.1 report. All 77 checks in the v1.2 report read the v1.2 deck, the v1.2 SOP and the v1.1 worksheet off disk.</w:t>
            </w:r>
          </w:p>
        </w:tc>
      </w:tr>
    </w:tbl>
    <w:p>
      <w:pPr>
        <w:spacing w:after="80"/>
      </w:pPr>
    </w:p>
    <w:p>
      <w:pPr>
        <w:spacing w:before="120" w:after="120"/>
      </w:pPr>
      <w:r>
        <w:rPr>
          <w:color w:val="555555"/>
          <w:sz w:val="16"/>
        </w:rPr>
        <w:t>――――――――――――――――――――――――――――――――――――――――――――――――――――――――――――――――――――――――――――――――――――――――――</w:t>
      </w:r>
    </w:p>
    <w:p>
      <w:pPr>
        <w:spacing w:before="320" w:after="160"/>
      </w:pPr>
      <w:r>
        <w:rPr>
          <w:b/>
          <w:color w:val="0F2347"/>
          <w:sz w:val="32"/>
        </w:rPr>
        <w:t>Part B — the conversion sequence</w:t>
      </w:r>
    </w:p>
    <w:p>
      <w:pPr>
        <w:spacing w:after="160"/>
      </w:pPr>
      <w:r>
        <w:rPr>
          <w:b/>
          <w:i w:val="0"/>
          <w:color w:val="000000"/>
          <w:sz w:val="19"/>
        </w:rPr>
        <w:t>One live slide becomes three. The deck goes from 37 slides to 39, and from 31 live to 33. The sequence still occupies 68:00 to 72:00 and the session is still 90 minutes.</w:t>
      </w:r>
    </w:p>
    <w:tbl>
      <w:tblPr>
        <w:tblW w:type="auto" w:w="0"/>
        <w:tblLayout w:type="fixed"/>
        <w:tblLook w:firstColumn="1" w:firstRow="1" w:lastColumn="0" w:lastRow="0" w:noHBand="0" w:noVBand="1" w:val="04A0"/>
      </w:tblPr>
      <w:tblGrid>
        <w:gridCol w:w="5040"/>
        <w:gridCol w:w="5040"/>
      </w:tblGrid>
      <w:tr>
        <w:tc>
          <w:tcPr>
            <w:tcW w:type="dxa" w:w="3600"/>
            <w:shd w:val="clear" w:fill="0F2347"/>
          </w:tcPr>
          <w:p>
            <w:r/>
            <w:r>
              <w:rPr>
                <w:b/>
                <w:color w:val="FFFFFF"/>
                <w:sz w:val="19"/>
              </w:rPr>
              <w:t>Where</w:t>
            </w:r>
          </w:p>
        </w:tc>
        <w:tc>
          <w:tcPr>
            <w:tcW w:type="dxa" w:w="6048"/>
            <w:shd w:val="clear" w:fill="0F2347"/>
          </w:tcPr>
          <w:p>
            <w:r/>
            <w:r>
              <w:rPr>
                <w:b/>
                <w:color w:val="FFFFFF"/>
                <w:sz w:val="19"/>
              </w:rPr>
              <w:t>What it is</w:t>
            </w:r>
          </w:p>
        </w:tc>
      </w:tr>
      <w:tr>
        <w:tc>
          <w:tcPr>
            <w:tcW w:type="dxa" w:w="3600"/>
          </w:tcPr>
          <w:p>
            <w:r/>
            <w:r>
              <w:rPr>
                <w:b/>
                <w:sz w:val="19"/>
              </w:rPr>
              <w:t>Removed — “Two routes, if you want them”</w:t>
            </w:r>
          </w:p>
        </w:tc>
        <w:tc>
          <w:tcPr>
            <w:tcW w:type="dxa" w:w="6048"/>
          </w:tcPr>
          <w:p>
            <w:r/>
            <w:r>
              <w:rPr>
                <w:sz w:val="19"/>
              </w:rPr>
              <w:t>The single WHERE TO GO DEEPER slide is gone. Both routes survive, but they are no longer presented as a two-option menu with no way out.</w:t>
            </w:r>
          </w:p>
        </w:tc>
      </w:tr>
      <w:tr>
        <w:tc>
          <w:tcPr>
            <w:tcW w:type="dxa" w:w="3600"/>
          </w:tcPr>
          <w:p>
            <w:r/>
            <w:r>
              <w:rPr>
                <w:b/>
                <w:sz w:val="19"/>
              </w:rPr>
              <w:t>Slide 29 — Choose How You Want to Continue the Read  ·  68:00–69:15</w:t>
            </w:r>
          </w:p>
        </w:tc>
        <w:tc>
          <w:tcPr>
            <w:tcW w:type="dxa" w:w="6048"/>
          </w:tcPr>
          <w:p>
            <w:r/>
            <w:r>
              <w:rPr>
                <w:sz w:val="19"/>
              </w:rPr>
              <w:t>Three recognition routes. Route 1 is “I have enough for now — take your Next-Move Note and act on it”, with “Nothing further is required. The session was built to be complete on its own” on the face. Route 2 is the Field Kit for people who want to keep working privately. Route 3 is the Private Read for people who can read the position but still find the decision hard. Closing line: different unresolved needs require different levels of support. No pricing.</w:t>
            </w:r>
          </w:p>
        </w:tc>
      </w:tr>
      <w:tr>
        <w:tc>
          <w:tcPr>
            <w:tcW w:type="dxa" w:w="3600"/>
          </w:tcPr>
          <w:p>
            <w:r/>
            <w:r>
              <w:rPr>
                <w:b/>
                <w:sz w:val="19"/>
              </w:rPr>
              <w:t>Slide 30 — Capability Formation Field Kit  ·  69:15–70:35</w:t>
            </w:r>
          </w:p>
        </w:tc>
        <w:tc>
          <w:tcPr>
            <w:tcW w:type="dxa" w:w="6048"/>
          </w:tcPr>
          <w:p>
            <w:r/>
            <w:r>
              <w:rPr>
                <w:sz w:val="19"/>
              </w:rPr>
              <w:t>Ownership and repeatability. BEST FOR YOU IF, four things it adds, and the use-case line about role changes, manager changes, promotion, reorganisation and new opportunities. Closes on: the live session reads your position today, the Field Kit helps you keep reading it as the conditions change. No pricing on the face.</w:t>
            </w:r>
          </w:p>
        </w:tc>
      </w:tr>
      <w:tr>
        <w:tc>
          <w:tcPr>
            <w:tcW w:type="dxa" w:w="3600"/>
          </w:tcPr>
          <w:p>
            <w:r/>
            <w:r>
              <w:rPr>
                <w:b/>
                <w:sz w:val="19"/>
              </w:rPr>
              <w:t>Slide 30 — product proof</w:t>
            </w:r>
          </w:p>
        </w:tc>
        <w:tc>
          <w:tcPr>
            <w:tcW w:type="dxa" w:w="6048"/>
          </w:tcPr>
          <w:p>
            <w:r/>
            <w:r>
              <w:rPr>
                <w:sz w:val="19"/>
              </w:rPr>
              <w:t>Two real pages rendered from the shipped Field Kit PDF: the cover and the Standing-Still state-cost worksheet, captioned as cover and state-cost worksheet, 24 pages. Nothing is mocked up and the Field Kit itself was not rebuilt or edited.</w:t>
            </w:r>
          </w:p>
        </w:tc>
      </w:tr>
      <w:tr>
        <w:tc>
          <w:tcPr>
            <w:tcW w:type="dxa" w:w="3600"/>
          </w:tcPr>
          <w:p>
            <w:r/>
            <w:r>
              <w:rPr>
                <w:b/>
                <w:sz w:val="19"/>
              </w:rPr>
              <w:t>Slide 31 — Private Capability Position Read  ·  70:35–72:00</w:t>
            </w:r>
          </w:p>
        </w:tc>
        <w:tc>
          <w:tcPr>
            <w:tcW w:type="dxa" w:w="6048"/>
          </w:tcPr>
          <w:p>
            <w:r/>
            <w:r>
              <w:rPr>
                <w:sz w:val="19"/>
              </w:rPr>
              <w:t>Navy, to read as high-touch rather than as a second product card. BEST FOR YOU IF (four recognition conditions), WHAT YOU BRING (three), and WHAT WE DO — “We read them together.” A line states the conditions are recognition points, not an eligibility list. Closes on the free-flagship-versus-private-read distinction. No pricing on the face.</w:t>
            </w:r>
          </w:p>
        </w:tc>
      </w:tr>
      <w:tr>
        <w:tc>
          <w:tcPr>
            <w:tcW w:type="dxa" w:w="3600"/>
          </w:tcPr>
          <w:p>
            <w:r/>
            <w:r>
              <w:rPr>
                <w:b/>
                <w:sz w:val="19"/>
              </w:rPr>
              <w:t>Speaker notes — commercial rule</w:t>
            </w:r>
          </w:p>
        </w:tc>
        <w:tc>
          <w:tcPr>
            <w:tcW w:type="dxa" w:w="6048"/>
          </w:tcPr>
          <w:p>
            <w:r/>
            <w:r>
              <w:rPr>
                <w:sz w:val="19"/>
              </w:rPr>
              <w:t>Slides 30 and 31 both carry the internal source of truth ($150 and $500) and the evergreen recording rule: do not state pricing into the permanent replay unless the current live route has been verified immediately before delivery. Price and availability go through live chat, the current product route and follow-up communications.</w:t>
            </w:r>
          </w:p>
        </w:tc>
      </w:tr>
      <w:tr>
        <w:tc>
          <w:tcPr>
            <w:tcW w:type="dxa" w:w="3600"/>
          </w:tcPr>
          <w:p>
            <w:r/>
            <w:r>
              <w:rPr>
                <w:b/>
                <w:sz w:val="19"/>
              </w:rPr>
              <w:t>Institutional delivery</w:t>
            </w:r>
          </w:p>
        </w:tc>
        <w:tc>
          <w:tcPr>
            <w:tcW w:type="dxa" w:w="6048"/>
          </w:tcPr>
          <w:p>
            <w:r/>
            <w:r>
              <w:rPr>
                <w:sz w:val="19"/>
              </w:rPr>
              <w:t>Slide 31's note and SOP Section 13 both say: skip slides 29, 30 and 31 entirely and use the hidden INSTITUTIONAL DELIVERY CLOSE instead. The institutional close's own note was updated to name the three slides it replaces.</w:t>
            </w:r>
          </w:p>
        </w:tc>
      </w:tr>
      <w:tr>
        <w:tc>
          <w:tcPr>
            <w:tcW w:type="dxa" w:w="3600"/>
          </w:tcPr>
          <w:p>
            <w:r/>
            <w:r>
              <w:rPr>
                <w:b/>
                <w:sz w:val="19"/>
              </w:rPr>
              <w:t>Renumbering</w:t>
            </w:r>
          </w:p>
        </w:tc>
        <w:tc>
          <w:tcPr>
            <w:tcW w:type="dxa" w:w="6048"/>
          </w:tcPr>
          <w:p>
            <w:r/>
            <w:r>
              <w:rPr>
                <w:sz w:val="19"/>
              </w:rPr>
              <w:t>The evergreen close moves from 30 to 32 and Questions &amp; Applications from 31 to 33. Both footers were renumbered. The six appendix slides move from 32–37 to 34–39 and kept their hidden state. Slide references inside speaker notes were updated; none is stale.</w:t>
            </w:r>
          </w:p>
        </w:tc>
      </w:tr>
    </w:tbl>
    <w:p>
      <w:pPr>
        <w:spacing w:after="80"/>
      </w:pPr>
    </w:p>
    <w:p>
      <w:pPr>
        <w:spacing w:before="120" w:after="120"/>
      </w:pPr>
      <w:r>
        <w:rPr>
          <w:color w:val="555555"/>
          <w:sz w:val="16"/>
        </w:rPr>
        <w:t>――――――――――――――――――――――――――――――――――――――――――――――――――――――――――――――――――――――――――――――――――――――――――</w:t>
      </w:r>
    </w:p>
    <w:p>
      <w:pPr>
        <w:spacing w:before="320" w:after="160"/>
      </w:pPr>
      <w:r>
        <w:rPr>
          <w:b/>
          <w:color w:val="0F2347"/>
          <w:sz w:val="32"/>
        </w:rPr>
        <w:t>NOT changed</w:t>
      </w:r>
    </w:p>
    <w:p>
      <w:pPr>
        <w:spacing w:after="160"/>
      </w:pPr>
      <w:r>
        <w:rPr>
          <w:b/>
          <w:i w:val="0"/>
          <w:color w:val="000000"/>
          <w:sz w:val="20"/>
        </w:rPr>
        <w:t>The instrument is frozen and nothing in this pass touched it.</w:t>
      </w:r>
    </w:p>
    <w:p>
      <w:pPr>
        <w:pStyle w:val="ListBullet"/>
        <w:spacing w:after="60"/>
      </w:pPr>
      <w:r>
        <w:rPr>
          <w:color w:val="000000"/>
          <w:sz w:val="19"/>
        </w:rPr>
        <w:t>The twelve statements — still byte-for-byte identical to v5.3.1 FINAL.</w:t>
      </w:r>
    </w:p>
    <w:p>
      <w:pPr>
        <w:pStyle w:val="ListBullet"/>
        <w:spacing w:after="60"/>
      </w:pPr>
      <w:r>
        <w:rPr>
          <w:color w:val="000000"/>
          <w:sz w:val="19"/>
        </w:rPr>
        <w:t>The 1–5 response scale; Density 1–6; Optionality 7–12.</w:t>
      </w:r>
    </w:p>
    <w:p>
      <w:pPr>
        <w:pStyle w:val="ListBullet"/>
        <w:spacing w:after="60"/>
      </w:pPr>
      <w:r>
        <w:rPr>
          <w:color w:val="000000"/>
          <w:sz w:val="19"/>
        </w:rPr>
        <w:t>The ninety-day window and the symmetric evidence protocol.</w:t>
      </w:r>
    </w:p>
    <w:p>
      <w:pPr>
        <w:pStyle w:val="ListBullet"/>
        <w:spacing w:after="60"/>
      </w:pPr>
      <w:r>
        <w:rPr>
          <w:color w:val="000000"/>
          <w:sz w:val="19"/>
        </w:rPr>
        <w:t>3 means mixed; a question mark means unsupported.</w:t>
      </w:r>
    </w:p>
    <w:p>
      <w:pPr>
        <w:pStyle w:val="ListBullet"/>
        <w:spacing w:after="60"/>
      </w:pPr>
      <w:r>
        <w:rPr>
          <w:color w:val="000000"/>
          <w:sz w:val="19"/>
        </w:rPr>
        <w:t>One or two marked items make an axis provisional; three or more make it incomplete.</w:t>
      </w:r>
    </w:p>
    <w:p>
      <w:pPr>
        <w:pStyle w:val="ListBullet"/>
        <w:spacing w:after="60"/>
      </w:pPr>
      <w:r>
        <w:rPr>
          <w:color w:val="000000"/>
          <w:sz w:val="19"/>
        </w:rPr>
        <w:t>No neighbouring score is tested below 1 or above 5. 17 to 21 is the boundary band.</w:t>
      </w:r>
    </w:p>
    <w:p>
      <w:pPr>
        <w:pStyle w:val="ListBullet"/>
        <w:spacing w:after="60"/>
      </w:pPr>
      <w:r>
        <w:rPr>
          <w:color w:val="000000"/>
          <w:sz w:val="19"/>
        </w:rPr>
        <w:t>The Four States and state-is-not-identity. The seven move categories and the no-square-prescribes-a-move rule.</w:t>
      </w:r>
    </w:p>
    <w:p>
      <w:pPr>
        <w:pStyle w:val="ListBullet"/>
        <w:spacing w:after="60"/>
      </w:pPr>
      <w:r>
        <w:rPr>
          <w:color w:val="000000"/>
          <w:sz w:val="19"/>
        </w:rPr>
        <w:t>The Next-Move Note, still distinct from the Intensive Edition's Next-Move Decision.</w:t>
      </w:r>
    </w:p>
    <w:p>
      <w:pPr>
        <w:pStyle w:val="ListBullet"/>
        <w:spacing w:after="60"/>
      </w:pPr>
      <w:r>
        <w:rPr>
          <w:color w:val="000000"/>
          <w:sz w:val="19"/>
        </w:rPr>
        <w:t>90 minutes. Recorded core 0–75. Live-only Q&amp;A 75–90. Wednesday, September 16, 2026, 6:00–7:30 PM Central Time. Free, open registration, no cap.</w:t>
      </w:r>
    </w:p>
    <w:p>
      <w:pPr>
        <w:pStyle w:val="ListBullet"/>
        <w:spacing w:after="60"/>
      </w:pPr>
      <w:r>
        <w:rPr>
          <w:color w:val="000000"/>
          <w:sz w:val="19"/>
        </w:rPr>
        <w:t>The evergreen close, word for word.</w:t>
      </w:r>
    </w:p>
    <w:p>
      <w:pPr>
        <w:pStyle w:val="ListBullet"/>
        <w:spacing w:after="60"/>
      </w:pPr>
      <w:r>
        <w:rPr>
          <w:color w:val="000000"/>
          <w:sz w:val="19"/>
        </w:rPr>
        <w:t>The 90-minute product architecture, the two-pass Position Read, the recording model and the institutional-use architecture.</w:t>
      </w:r>
    </w:p>
    <w:p>
      <w:pPr>
        <w:spacing w:after="160"/>
      </w:pPr>
      <w:r>
        <w:rPr>
          <w:b/>
          <w:i w:val="0"/>
          <w:color w:val="000000"/>
          <w:sz w:val="19"/>
        </w:rPr>
        <w:t>Hash-verified unchanged: the v5.3.1 FINAL Intensive deck, Capability_Formation_Individual_Offer_Architecture_v1.0.docx, the Field Kit PDF (read only, to render two pages), and the Phase 2A / 2B / 2C packages. No website, Maven page, booking flow, checkout flow, email sequence or institutional pricing was built. No upgrade-credit policy was built.</w:t>
      </w:r>
    </w:p>
    <w:p>
      <w:pPr>
        <w:spacing w:before="120" w:after="120"/>
      </w:pPr>
      <w:r>
        <w:rPr>
          <w:color w:val="555555"/>
          <w:sz w:val="16"/>
        </w:rPr>
        <w:t>――――――――――――――――――――――――――――――――――――――――――――――――――――――――――――――――――――――――――――――――――――――――――</w:t>
      </w:r>
    </w:p>
    <w:p>
      <w:pPr>
        <w:spacing w:before="320" w:after="160"/>
      </w:pPr>
      <w:r>
        <w:rPr>
          <w:b/>
          <w:color w:val="0F2347"/>
          <w:sz w:val="32"/>
        </w:rPr>
        <w:t>Two decisions recorded rather than made silently</w:t>
      </w:r>
    </w:p>
    <w:p>
      <w:pPr>
        <w:spacing w:after="160"/>
      </w:pPr>
      <w:r>
        <w:rPr>
          <w:b w:val="0"/>
          <w:i w:val="0"/>
          <w:color w:val="000000"/>
          <w:sz w:val="19"/>
        </w:rPr>
        <w:t>VERSION NUMBERS. The correction brief referred to the worksheet as v1.0. Items 6 and 7 change how its fields behave, so overwriting v1.0 in place would leave a delivered file silently altered. The worksheet is issued as v1.1 CANDIDATE and the SOP source map names v1.1. v1.0 remains on disk.</w:t>
      </w:r>
    </w:p>
    <w:p>
      <w:pPr>
        <w:spacing w:after="160"/>
      </w:pPr>
      <w:r>
        <w:rPr>
          <w:b w:val="0"/>
          <w:i w:val="0"/>
          <w:color w:val="000000"/>
          <w:sz w:val="19"/>
        </w:rPr>
        <w:t>TIMING SHEET. The rehearsal timing sheet listed “68–72 Where to go deeper” as one row. That block is now three slides, so the sheet was reissued as v1.1 with three rows and a recovery rule that protects slide 29. Leaving it stale would have meant rehearsing against a block that no longer exists.</w:t>
      </w:r>
    </w:p>
    <w:p>
      <w:pPr>
        <w:spacing w:before="120" w:after="120"/>
      </w:pPr>
      <w:r>
        <w:rPr>
          <w:color w:val="555555"/>
          <w:sz w:val="16"/>
        </w:rPr>
        <w:t>――――――――――――――――――――――――――――――――――――――――――――――――――――――――――――――――――――――――――――――――――――――――――</w:t>
      </w:r>
    </w:p>
    <w:p>
      <w:pPr>
        <w:spacing w:after="0"/>
      </w:pPr>
      <w:r>
        <w:rPr>
          <w:b w:val="0"/>
          <w:i/>
          <w:color w:val="555555"/>
          <w:sz w:val="16"/>
        </w:rPr>
        <w:t>FREE FLAGSHIP — v1.2 CHANGE LOG  ·  INTERNAL ONLY  ·  Revised: Friday, August 14, 2026, 12:16 PM Central Time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