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v1.2 Cross-Asset QA Report</w:t>
            </w:r>
          </w:p>
          <w:p>
            <w:r>
              <w:rPr>
                <w:i/>
                <w:color w:val="E3D9C4"/>
                <w:sz w:val="22"/>
              </w:rPr>
              <w:t>77 verifications  ·  Revised: Friday, August 14, 2026, 12:16 PM Central Time</w:t>
            </w:r>
          </w:p>
        </w:tc>
      </w:tr>
    </w:tbl>
    <w:p>
      <w:pPr>
        <w:spacing w:after="80"/>
      </w:pPr>
    </w:p>
    <w:p>
      <w:pPr>
        <w:spacing w:after="160"/>
      </w:pPr>
      <w:r>
        <w:rPr>
          <w:b/>
          <w:i w:val="0"/>
          <w:color w:val="000000"/>
          <w:sz w:val="19"/>
        </w:rPr>
        <w:t>Every item was executed against the files this pass produced — the v1.2 deck, the v1.2 SOP and the v1.1 worksheet, read off disk. Nothing is carried forward from the v1.1 report, and no result is asserted from the build script.</w:t>
      </w:r>
    </w:p>
    <w:p>
      <w:pPr>
        <w:spacing w:after="160"/>
      </w:pPr>
      <w:r>
        <w:rPr>
          <w:b w:val="0"/>
          <w:i/>
          <w:color w:val="555555"/>
          <w:sz w:val="18"/>
        </w:rPr>
        <w:t>Three of the twenty conversion checks failed on the first run because they were testing the SOP's own prohibition lines — a rule that names what must not be used is an instruction, not copy. The checks were corrected to exclude prohibition lines rather than the rules being weakened. The results below are the corrected run.</w:t>
      </w:r>
    </w:p>
    <w:p>
      <w:pPr>
        <w:spacing w:before="120" w:after="120"/>
      </w:pPr>
      <w:r>
        <w:rPr>
          <w:color w:val="555555"/>
          <w:sz w:val="16"/>
        </w:rPr>
        <w:t>――――――――――――――――――――――――――――――――――――――――――――――――――――――――――――――――――――――――――――――――――――――――――</w:t>
      </w:r>
    </w:p>
    <w:p>
      <w:pPr>
        <w:spacing w:before="320" w:after="160"/>
      </w:pPr>
      <w:r>
        <w:rPr>
          <w:b/>
          <w:color w:val="0F2347"/>
          <w:sz w:val="32"/>
        </w:rPr>
        <w:t>Group A — the eight verified defect corrections</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1</w:t>
            </w:r>
          </w:p>
        </w:tc>
        <w:tc>
          <w:tcPr>
            <w:tcW w:type="dxa" w:w="3139"/>
          </w:tcPr>
          <w:p>
            <w:r/>
            <w:r>
              <w:rPr>
                <w:sz w:val="18"/>
              </w:rPr>
              <w:t>SOP 17 governing deck is the version this pass produced</w:t>
            </w:r>
          </w:p>
        </w:tc>
        <w:tc>
          <w:tcPr>
            <w:tcW w:type="dxa" w:w="893"/>
            <w:shd w:val="clear" w:fill="D9EAD3"/>
          </w:tcPr>
          <w:p>
            <w:r/>
            <w:r>
              <w:rPr>
                <w:b/>
                <w:color w:val="1A7A1A"/>
                <w:sz w:val="18"/>
              </w:rPr>
              <w:t>PASS</w:t>
            </w:r>
          </w:p>
        </w:tc>
        <w:tc>
          <w:tcPr>
            <w:tcW w:type="dxa" w:w="5587"/>
          </w:tcPr>
          <w:p>
            <w:r/>
            <w:r>
              <w:rPr>
                <w:sz w:val="17"/>
              </w:rPr>
              <w:t>Section 17 now reads v1.2 CANDIDATE, 39 slides, 33 live, 6 hidden. The stale v1.0 reference is gone.</w:t>
            </w:r>
          </w:p>
        </w:tc>
      </w:tr>
      <w:tr>
        <w:tc>
          <w:tcPr>
            <w:tcW w:type="dxa" w:w="461"/>
          </w:tcPr>
          <w:p>
            <w:r/>
            <w:r>
              <w:rPr>
                <w:sz w:val="18"/>
              </w:rPr>
              <w:t>2</w:t>
            </w:r>
          </w:p>
        </w:tc>
        <w:tc>
          <w:tcPr>
            <w:tcW w:type="dxa" w:w="3139"/>
          </w:tcPr>
          <w:p>
            <w:r/>
            <w:r>
              <w:rPr>
                <w:sz w:val="18"/>
              </w:rPr>
              <w:t>SOP 17 keeps Architecture v1.0 as read-only governing architecture</w:t>
            </w:r>
          </w:p>
        </w:tc>
        <w:tc>
          <w:tcPr>
            <w:tcW w:type="dxa" w:w="893"/>
            <w:shd w:val="clear" w:fill="D9EAD3"/>
          </w:tcPr>
          <w:p>
            <w:r/>
            <w:r>
              <w:rPr>
                <w:b/>
                <w:color w:val="1A7A1A"/>
                <w:sz w:val="18"/>
              </w:rPr>
              <w:t>PASS</w:t>
            </w:r>
          </w:p>
        </w:tc>
        <w:tc>
          <w:tcPr>
            <w:tcW w:type="dxa" w:w="5587"/>
          </w:tcPr>
          <w:p>
            <w:r/>
            <w:r>
              <w:rPr>
                <w:sz w:val="17"/>
              </w:rPr>
              <w:t>Named as governing and explicitly read-only. The build script still disables the Architecture block, so it cannot be regenerated by accident.</w:t>
            </w:r>
          </w:p>
        </w:tc>
      </w:tr>
      <w:tr>
        <w:tc>
          <w:tcPr>
            <w:tcW w:type="dxa" w:w="461"/>
          </w:tcPr>
          <w:p>
            <w:r/>
            <w:r>
              <w:rPr>
                <w:sz w:val="18"/>
              </w:rPr>
              <w:t>3</w:t>
            </w:r>
          </w:p>
        </w:tc>
        <w:tc>
          <w:tcPr>
            <w:tcW w:type="dxa" w:w="3139"/>
          </w:tcPr>
          <w:p>
            <w:r/>
            <w:r>
              <w:rPr>
                <w:sz w:val="18"/>
              </w:rPr>
              <w:t>SOP 18 no longer says the worksheet is unbuilt</w:t>
            </w:r>
          </w:p>
        </w:tc>
        <w:tc>
          <w:tcPr>
            <w:tcW w:type="dxa" w:w="893"/>
            <w:shd w:val="clear" w:fill="D9EAD3"/>
          </w:tcPr>
          <w:p>
            <w:r/>
            <w:r>
              <w:rPr>
                <w:b/>
                <w:color w:val="1A7A1A"/>
                <w:sz w:val="18"/>
              </w:rPr>
              <w:t>PASS</w:t>
            </w:r>
          </w:p>
        </w:tc>
        <w:tc>
          <w:tcPr>
            <w:tcW w:type="dxa" w:w="5587"/>
          </w:tcPr>
          <w:p>
            <w:r/>
            <w:r>
              <w:rPr>
                <w:sz w:val="17"/>
              </w:rPr>
              <w:t>The line is removed from the intentionally-unbuilt list.</w:t>
            </w:r>
          </w:p>
        </w:tc>
      </w:tr>
      <w:tr>
        <w:tc>
          <w:tcPr>
            <w:tcW w:type="dxa" w:w="461"/>
          </w:tcPr>
          <w:p>
            <w:r/>
            <w:r>
              <w:rPr>
                <w:sz w:val="18"/>
              </w:rPr>
              <w:t>4</w:t>
            </w:r>
          </w:p>
        </w:tc>
        <w:tc>
          <w:tcPr>
            <w:tcW w:type="dxa" w:w="3139"/>
          </w:tcPr>
          <w:p>
            <w:r/>
            <w:r>
              <w:rPr>
                <w:sz w:val="18"/>
              </w:rPr>
              <w:t>SOP 18 no longer says the deck carries a worksheet placeholder</w:t>
            </w:r>
          </w:p>
        </w:tc>
        <w:tc>
          <w:tcPr>
            <w:tcW w:type="dxa" w:w="893"/>
            <w:shd w:val="clear" w:fill="D9EAD3"/>
          </w:tcPr>
          <w:p>
            <w:r/>
            <w:r>
              <w:rPr>
                <w:b/>
                <w:color w:val="1A7A1A"/>
                <w:sz w:val="18"/>
              </w:rPr>
              <w:t>PASS</w:t>
            </w:r>
          </w:p>
        </w:tc>
        <w:tc>
          <w:tcPr>
            <w:tcW w:type="dxa" w:w="5587"/>
          </w:tcPr>
          <w:p>
            <w:r/>
            <w:r>
              <w:rPr>
                <w:sz w:val="17"/>
              </w:rPr>
              <w:t>Gone from the SOP, and the deck itself carries no placeholder in any note.</w:t>
            </w:r>
          </w:p>
        </w:tc>
      </w:tr>
      <w:tr>
        <w:tc>
          <w:tcPr>
            <w:tcW w:type="dxa" w:w="461"/>
          </w:tcPr>
          <w:p>
            <w:r/>
            <w:r>
              <w:rPr>
                <w:sz w:val="18"/>
              </w:rPr>
              <w:t>5</w:t>
            </w:r>
          </w:p>
        </w:tc>
        <w:tc>
          <w:tcPr>
            <w:tcW w:type="dxa" w:w="3139"/>
          </w:tcPr>
          <w:p>
            <w:r/>
            <w:r>
              <w:rPr>
                <w:sz w:val="18"/>
              </w:rPr>
              <w:t>The worksheet is named in the SOP source-of-truth map</w:t>
            </w:r>
          </w:p>
        </w:tc>
        <w:tc>
          <w:tcPr>
            <w:tcW w:type="dxa" w:w="893"/>
            <w:shd w:val="clear" w:fill="D9EAD3"/>
          </w:tcPr>
          <w:p>
            <w:r/>
            <w:r>
              <w:rPr>
                <w:b/>
                <w:color w:val="1A7A1A"/>
                <w:sz w:val="18"/>
              </w:rPr>
              <w:t>PASS</w:t>
            </w:r>
          </w:p>
        </w:tc>
        <w:tc>
          <w:tcPr>
            <w:tcW w:type="dxa" w:w="5587"/>
          </w:tcPr>
          <w:p>
            <w:r/>
            <w:r>
              <w:rPr>
                <w:sz w:val="17"/>
              </w:rPr>
              <w:t>Listed as the participant worksheet alongside the deck and the architecture.</w:t>
            </w:r>
          </w:p>
        </w:tc>
      </w:tr>
      <w:tr>
        <w:tc>
          <w:tcPr>
            <w:tcW w:type="dxa" w:w="461"/>
          </w:tcPr>
          <w:p>
            <w:r/>
            <w:r>
              <w:rPr>
                <w:sz w:val="18"/>
              </w:rPr>
              <w:t>6</w:t>
            </w:r>
          </w:p>
        </w:tc>
        <w:tc>
          <w:tcPr>
            <w:tcW w:type="dxa" w:w="3139"/>
          </w:tcPr>
          <w:p>
            <w:r/>
            <w:r>
              <w:rPr>
                <w:sz w:val="18"/>
              </w:rPr>
              <w:t>SOP 13 prices the Private Read at exactly $500</w:t>
            </w:r>
          </w:p>
        </w:tc>
        <w:tc>
          <w:tcPr>
            <w:tcW w:type="dxa" w:w="893"/>
            <w:shd w:val="clear" w:fill="D9EAD3"/>
          </w:tcPr>
          <w:p>
            <w:r/>
            <w:r>
              <w:rPr>
                <w:b/>
                <w:color w:val="1A7A1A"/>
                <w:sz w:val="18"/>
              </w:rPr>
              <w:t>PASS</w:t>
            </w:r>
          </w:p>
        </w:tc>
        <w:tc>
          <w:tcPr>
            <w:tcW w:type="dxa" w:w="5587"/>
          </w:tcPr>
          <w:p>
            <w:r/>
            <w:r>
              <w:rPr>
                <w:sz w:val="17"/>
              </w:rPr>
              <w:t>No “starting at”, no “$500+”. The SOP also states the individual source of truth outright: Field Kit exactly $150, Private Capability Position Read exactly $500.</w:t>
            </w:r>
          </w:p>
        </w:tc>
      </w:tr>
      <w:tr>
        <w:tc>
          <w:tcPr>
            <w:tcW w:type="dxa" w:w="461"/>
          </w:tcPr>
          <w:p>
            <w:r/>
            <w:r>
              <w:rPr>
                <w:sz w:val="18"/>
              </w:rPr>
              <w:t>7</w:t>
            </w:r>
          </w:p>
        </w:tc>
        <w:tc>
          <w:tcPr>
            <w:tcW w:type="dxa" w:w="3139"/>
          </w:tcPr>
          <w:p>
            <w:r/>
            <w:r>
              <w:rPr>
                <w:sz w:val="18"/>
              </w:rPr>
              <w:t>Appendix slide carries the governing low-Optionality sentence</w:t>
            </w:r>
          </w:p>
        </w:tc>
        <w:tc>
          <w:tcPr>
            <w:tcW w:type="dxa" w:w="893"/>
            <w:shd w:val="clear" w:fill="D9EAD3"/>
          </w:tcPr>
          <w:p>
            <w:r/>
            <w:r>
              <w:rPr>
                <w:b/>
                <w:color w:val="1A7A1A"/>
                <w:sz w:val="18"/>
              </w:rPr>
              <w:t>PASS</w:t>
            </w:r>
          </w:p>
        </w:tc>
        <w:tc>
          <w:tcPr>
            <w:tcW w:type="dxa" w:w="5587"/>
          </w:tcPr>
          <w:p>
            <w:r/>
            <w:r>
              <w:rPr>
                <w:sz w:val="17"/>
              </w:rPr>
              <w:t>The prevalence claim is gone from appendix slide 36 and replaced with the v5.3.1 wording, matching slides 19 and 27 of the Intensive Edition.</w:t>
            </w:r>
          </w:p>
        </w:tc>
      </w:tr>
      <w:tr>
        <w:tc>
          <w:tcPr>
            <w:tcW w:type="dxa" w:w="461"/>
          </w:tcPr>
          <w:p>
            <w:r/>
            <w:r>
              <w:rPr>
                <w:sz w:val="18"/>
              </w:rPr>
              <w:t>8</w:t>
            </w:r>
          </w:p>
        </w:tc>
        <w:tc>
          <w:tcPr>
            <w:tcW w:type="dxa" w:w="3139"/>
          </w:tcPr>
          <w:p>
            <w:r/>
            <w:r>
              <w:rPr>
                <w:sz w:val="18"/>
              </w:rPr>
              <w:t>No unsupported prevalence claim survives anywhere in the deck</w:t>
            </w:r>
          </w:p>
        </w:tc>
        <w:tc>
          <w:tcPr>
            <w:tcW w:type="dxa" w:w="893"/>
            <w:shd w:val="clear" w:fill="D9EAD3"/>
          </w:tcPr>
          <w:p>
            <w:r/>
            <w:r>
              <w:rPr>
                <w:b/>
                <w:color w:val="1A7A1A"/>
                <w:sz w:val="18"/>
              </w:rPr>
              <w:t>PASS</w:t>
            </w:r>
          </w:p>
        </w:tc>
        <w:tc>
          <w:tcPr>
            <w:tcW w:type="dxa" w:w="5587"/>
          </w:tcPr>
          <w:p>
            <w:r/>
            <w:r>
              <w:rPr>
                <w:sz w:val="17"/>
              </w:rPr>
              <w:t>Nine phrases swept across every slide face and every note. The surviving uses of most / typical / common are the method's own “most defensible number”, the facilitator prohibitions against making prevalence claims, and non-prevalence phrasings.</w:t>
            </w:r>
          </w:p>
        </w:tc>
      </w:tr>
      <w:tr>
        <w:tc>
          <w:tcPr>
            <w:tcW w:type="dxa" w:w="461"/>
          </w:tcPr>
          <w:p>
            <w:r/>
            <w:r>
              <w:rPr>
                <w:sz w:val="18"/>
              </w:rPr>
              <w:t>9</w:t>
            </w:r>
          </w:p>
        </w:tc>
        <w:tc>
          <w:tcPr>
            <w:tcW w:type="dxa" w:w="3139"/>
          </w:tcPr>
          <w:p>
            <w:r/>
            <w:r>
              <w:rPr>
                <w:sz w:val="18"/>
              </w:rPr>
              <w:t>“public replay” is gone from participant-facing slide faces</w:t>
            </w:r>
          </w:p>
        </w:tc>
        <w:tc>
          <w:tcPr>
            <w:tcW w:type="dxa" w:w="893"/>
            <w:shd w:val="clear" w:fill="D9EAD3"/>
          </w:tcPr>
          <w:p>
            <w:r/>
            <w:r>
              <w:rPr>
                <w:b/>
                <w:color w:val="1A7A1A"/>
                <w:sz w:val="18"/>
              </w:rPr>
              <w:t>PASS</w:t>
            </w:r>
          </w:p>
        </w:tc>
        <w:tc>
          <w:tcPr>
            <w:tcW w:type="dxa" w:w="5587"/>
          </w:tcPr>
          <w:p>
            <w:r/>
            <w:r>
              <w:rPr>
                <w:sz w:val="17"/>
              </w:rPr>
              <w:t>The boundary/recording slide now reads “not part of the evergreen replay” and the Q&amp;A slide reads “LIVE ONLY · NOT IN THE EVERGREEN REPLAY”. Zero occurrences on any face.</w:t>
            </w:r>
          </w:p>
        </w:tc>
      </w:tr>
      <w:tr>
        <w:tc>
          <w:tcPr>
            <w:tcW w:type="dxa" w:w="461"/>
          </w:tcPr>
          <w:p>
            <w:r/>
            <w:r>
              <w:rPr>
                <w:sz w:val="18"/>
              </w:rPr>
              <w:t>10</w:t>
            </w:r>
          </w:p>
        </w:tc>
        <w:tc>
          <w:tcPr>
            <w:tcW w:type="dxa" w:w="3139"/>
          </w:tcPr>
          <w:p>
            <w:r/>
            <w:r>
              <w:rPr>
                <w:sz w:val="18"/>
              </w:rPr>
              <w:t>Notes do not imply unrestricted public access is required</w:t>
            </w:r>
          </w:p>
        </w:tc>
        <w:tc>
          <w:tcPr>
            <w:tcW w:type="dxa" w:w="893"/>
            <w:shd w:val="clear" w:fill="D9EAD3"/>
          </w:tcPr>
          <w:p>
            <w:r/>
            <w:r>
              <w:rPr>
                <w:b/>
                <w:color w:val="1A7A1A"/>
                <w:sz w:val="18"/>
              </w:rPr>
              <w:t>PASS</w:t>
            </w:r>
          </w:p>
        </w:tc>
        <w:tc>
          <w:tcPr>
            <w:tcW w:type="dxa" w:w="5587"/>
          </w:tcPr>
          <w:p>
            <w:r/>
            <w:r>
              <w:rPr>
                <w:sz w:val="17"/>
              </w:rPr>
              <w:t>The recording note now says trim the evergreen replay. The SOP names a registration-gated evergreen replay as the initial preferred model.</w:t>
            </w:r>
          </w:p>
        </w:tc>
      </w:tr>
      <w:tr>
        <w:tc>
          <w:tcPr>
            <w:tcW w:type="dxa" w:w="461"/>
          </w:tcPr>
          <w:p>
            <w:r/>
            <w:r>
              <w:rPr>
                <w:sz w:val="18"/>
              </w:rPr>
              <w:t>11</w:t>
            </w:r>
          </w:p>
        </w:tc>
        <w:tc>
          <w:tcPr>
            <w:tcW w:type="dxa" w:w="3139"/>
          </w:tcPr>
          <w:p>
            <w:r/>
            <w:r>
              <w:rPr>
                <w:sz w:val="18"/>
              </w:rPr>
              <w:t>Corrected-score validation rejects a bare question mark</w:t>
            </w:r>
          </w:p>
        </w:tc>
        <w:tc>
          <w:tcPr>
            <w:tcW w:type="dxa" w:w="893"/>
            <w:shd w:val="clear" w:fill="D9EAD3"/>
          </w:tcPr>
          <w:p>
            <w:r/>
            <w:r>
              <w:rPr>
                <w:b/>
                <w:color w:val="1A7A1A"/>
                <w:sz w:val="18"/>
              </w:rPr>
              <w:t>PASS</w:t>
            </w:r>
          </w:p>
        </w:tc>
        <w:tc>
          <w:tcPr>
            <w:tcW w:type="dxa" w:w="5587"/>
          </w:tcPr>
          <w:p>
            <w:r/>
            <w:r>
              <w:rPr>
                <w:sz w:val="17"/>
              </w:rPr>
              <w:t>The field regex is /^([1-5]\??)?$/, attached as both a keystroke filter and a commit validator. A mark with no number under it is not a score and cannot be entered.</w:t>
            </w:r>
          </w:p>
        </w:tc>
      </w:tr>
      <w:tr>
        <w:tc>
          <w:tcPr>
            <w:tcW w:type="dxa" w:w="461"/>
          </w:tcPr>
          <w:p>
            <w:r/>
            <w:r>
              <w:rPr>
                <w:sz w:val="18"/>
              </w:rPr>
              <w:t>12</w:t>
            </w:r>
          </w:p>
        </w:tc>
        <w:tc>
          <w:tcPr>
            <w:tcW w:type="dxa" w:w="3139"/>
          </w:tcPr>
          <w:p>
            <w:r/>
            <w:r>
              <w:rPr>
                <w:sz w:val="18"/>
              </w:rPr>
              <w:t>Corrected-score validation accepts exactly the eleven legal values</w:t>
            </w:r>
          </w:p>
        </w:tc>
        <w:tc>
          <w:tcPr>
            <w:tcW w:type="dxa" w:w="893"/>
            <w:shd w:val="clear" w:fill="D9EAD3"/>
          </w:tcPr>
          <w:p>
            <w:r/>
            <w:r>
              <w:rPr>
                <w:b/>
                <w:color w:val="1A7A1A"/>
                <w:sz w:val="18"/>
              </w:rPr>
              <w:t>PASS</w:t>
            </w:r>
          </w:p>
        </w:tc>
        <w:tc>
          <w:tcPr>
            <w:tcW w:type="dxa" w:w="5587"/>
          </w:tcPr>
          <w:p>
            <w:r/>
            <w:r>
              <w:rPr>
                <w:sz w:val="17"/>
              </w:rPr>
              <w:t>Blank, 1-5, and 1-5 marked once all pass. Out-of-range digits, double marks, doubled digits, letters and trailing spaces are all rejected.</w:t>
            </w:r>
          </w:p>
        </w:tc>
      </w:tr>
      <w:tr>
        <w:tc>
          <w:tcPr>
            <w:tcW w:type="dxa" w:w="461"/>
          </w:tcPr>
          <w:p>
            <w:r/>
            <w:r>
              <w:rPr>
                <w:sz w:val="18"/>
              </w:rPr>
              <w:t>13</w:t>
            </w:r>
          </w:p>
        </w:tc>
        <w:tc>
          <w:tcPr>
            <w:tcW w:type="dxa" w:w="3139"/>
          </w:tcPr>
          <w:p>
            <w:r/>
            <w:r>
              <w:rPr>
                <w:sz w:val="18"/>
              </w:rPr>
              <w:t>Total fields are manually editable as a JavaScript fallback</w:t>
            </w:r>
          </w:p>
        </w:tc>
        <w:tc>
          <w:tcPr>
            <w:tcW w:type="dxa" w:w="893"/>
            <w:shd w:val="clear" w:fill="D9EAD3"/>
          </w:tcPr>
          <w:p>
            <w:r/>
            <w:r>
              <w:rPr>
                <w:b/>
                <w:color w:val="1A7A1A"/>
                <w:sz w:val="18"/>
              </w:rPr>
              <w:t>PASS</w:t>
            </w:r>
          </w:p>
        </w:tc>
        <w:tc>
          <w:tcPr>
            <w:tcW w:type="dxa" w:w="5587"/>
          </w:tcPr>
          <w:p>
            <w:r/>
            <w:r>
              <w:rPr>
                <w:sz w:val="17"/>
              </w:rPr>
              <w:t>All four totals had the read-only flag removed and keep their calculate action. In a reader that runs form JavaScript they compute; in one that does not, the participant types the total without having to print the worksheet.</w:t>
            </w:r>
          </w:p>
        </w:tc>
      </w:tr>
      <w:tr>
        <w:tc>
          <w:tcPr>
            <w:tcW w:type="dxa" w:w="461"/>
          </w:tcPr>
          <w:p>
            <w:r/>
            <w:r>
              <w:rPr>
                <w:sz w:val="18"/>
              </w:rPr>
              <w:t>14</w:t>
            </w:r>
          </w:p>
        </w:tc>
        <w:tc>
          <w:tcPr>
            <w:tcW w:type="dxa" w:w="3139"/>
          </w:tcPr>
          <w:p>
            <w:r/>
            <w:r>
              <w:rPr>
                <w:sz w:val="18"/>
              </w:rPr>
              <w:t>The visible worksheet says so</w:t>
            </w:r>
          </w:p>
        </w:tc>
        <w:tc>
          <w:tcPr>
            <w:tcW w:type="dxa" w:w="893"/>
            <w:shd w:val="clear" w:fill="D9EAD3"/>
          </w:tcPr>
          <w:p>
            <w:r/>
            <w:r>
              <w:rPr>
                <w:b/>
                <w:color w:val="1A7A1A"/>
                <w:sz w:val="18"/>
              </w:rPr>
              <w:t>PASS</w:t>
            </w:r>
          </w:p>
        </w:tc>
        <w:tc>
          <w:tcPr>
            <w:tcW w:type="dxa" w:w="5587"/>
          </w:tcPr>
          <w:p>
            <w:r/>
            <w:r>
              <w:rPr>
                <w:sz w:val="17"/>
              </w:rPr>
              <w:t>Printed inside every total block, so the behaviour is discoverable rather than assumed.</w:t>
            </w:r>
          </w:p>
        </w:tc>
      </w:tr>
      <w:tr>
        <w:tc>
          <w:tcPr>
            <w:tcW w:type="dxa" w:w="461"/>
          </w:tcPr>
          <w:p>
            <w:r/>
            <w:r>
              <w:rPr>
                <w:sz w:val="18"/>
              </w:rPr>
              <w:t>15</w:t>
            </w:r>
          </w:p>
        </w:tc>
        <w:tc>
          <w:tcPr>
            <w:tcW w:type="dxa" w:w="3139"/>
          </w:tcPr>
          <w:p>
            <w:r/>
            <w:r>
              <w:rPr>
                <w:sz w:val="18"/>
              </w:rPr>
              <w:t>QA re-run against the new files, not carried forward</w:t>
            </w:r>
          </w:p>
        </w:tc>
        <w:tc>
          <w:tcPr>
            <w:tcW w:type="dxa" w:w="893"/>
            <w:shd w:val="clear" w:fill="D9EAD3"/>
          </w:tcPr>
          <w:p>
            <w:r/>
            <w:r>
              <w:rPr>
                <w:b/>
                <w:color w:val="1A7A1A"/>
                <w:sz w:val="18"/>
              </w:rPr>
              <w:t>PASS</w:t>
            </w:r>
          </w:p>
        </w:tc>
        <w:tc>
          <w:tcPr>
            <w:tcW w:type="dxa" w:w="5587"/>
          </w:tcPr>
          <w:p>
            <w:r/>
            <w:r>
              <w:rPr>
                <w:sz w:val="17"/>
              </w:rPr>
              <w:t>Every check in this report reads the v1.2 deck, the v1.2 SOP and the v1.1 worksheet off disk. No result is inherited from the v1.1 report.</w:t>
            </w:r>
          </w:p>
        </w:tc>
      </w:tr>
    </w:tbl>
    <w:p>
      <w:pPr>
        <w:spacing w:after="120"/>
      </w:pPr>
    </w:p>
    <w:p>
      <w:pPr>
        <w:spacing w:before="120" w:after="120"/>
      </w:pPr>
      <w:r>
        <w:rPr>
          <w:color w:val="555555"/>
          <w:sz w:val="16"/>
        </w:rPr>
        <w:t>――――――――――――――――――――――――――――――――――――――――――――――――――――――――――――――――――――――――――――――――――――――――――</w:t>
      </w:r>
    </w:p>
    <w:p>
      <w:pPr>
        <w:spacing w:before="320" w:after="160"/>
      </w:pPr>
      <w:r>
        <w:rPr>
          <w:b/>
          <w:color w:val="0F2347"/>
          <w:sz w:val="32"/>
        </w:rPr>
        <w:t>Group B — the twenty conversion-sequence verifications</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16</w:t>
            </w:r>
          </w:p>
        </w:tc>
        <w:tc>
          <w:tcPr>
            <w:tcW w:type="dxa" w:w="3139"/>
          </w:tcPr>
          <w:p>
            <w:r/>
            <w:r>
              <w:rPr>
                <w:sz w:val="18"/>
              </w:rPr>
              <w:t>Current flagship content remains intact</w:t>
            </w:r>
          </w:p>
        </w:tc>
        <w:tc>
          <w:tcPr>
            <w:tcW w:type="dxa" w:w="893"/>
            <w:shd w:val="clear" w:fill="D9EAD3"/>
          </w:tcPr>
          <w:p>
            <w:r/>
            <w:r>
              <w:rPr>
                <w:b/>
                <w:color w:val="1A7A1A"/>
                <w:sz w:val="18"/>
              </w:rPr>
              <w:t>PASS</w:t>
            </w:r>
          </w:p>
        </w:tc>
        <w:tc>
          <w:tcPr>
            <w:tcW w:type="dxa" w:w="5587"/>
          </w:tcPr>
          <w:p>
            <w:r/>
            <w:r>
              <w:rPr>
                <w:sz w:val="17"/>
              </w:rPr>
              <w:t>The twelve statements, the four states, the seven move categories, the Next-Move Note and the evidence protocol all survive the insertion unchanged.</w:t>
            </w:r>
          </w:p>
        </w:tc>
      </w:tr>
      <w:tr>
        <w:tc>
          <w:tcPr>
            <w:tcW w:type="dxa" w:w="461"/>
          </w:tcPr>
          <w:p>
            <w:r/>
            <w:r>
              <w:rPr>
                <w:sz w:val="18"/>
              </w:rPr>
              <w:t>17</w:t>
            </w:r>
          </w:p>
        </w:tc>
        <w:tc>
          <w:tcPr>
            <w:tcW w:type="dxa" w:w="3139"/>
          </w:tcPr>
          <w:p>
            <w:r/>
            <w:r>
              <w:rPr>
                <w:sz w:val="18"/>
              </w:rPr>
              <w:t>The original single two-route slide is removed</w:t>
            </w:r>
          </w:p>
        </w:tc>
        <w:tc>
          <w:tcPr>
            <w:tcW w:type="dxa" w:w="893"/>
            <w:shd w:val="clear" w:fill="D9EAD3"/>
          </w:tcPr>
          <w:p>
            <w:r/>
            <w:r>
              <w:rPr>
                <w:b/>
                <w:color w:val="1A7A1A"/>
                <w:sz w:val="18"/>
              </w:rPr>
              <w:t>PASS</w:t>
            </w:r>
          </w:p>
        </w:tc>
        <w:tc>
          <w:tcPr>
            <w:tcW w:type="dxa" w:w="5587"/>
          </w:tcPr>
          <w:p>
            <w:r/>
            <w:r>
              <w:rPr>
                <w:sz w:val="17"/>
              </w:rPr>
              <w:t>Both the headline and its eyebrow are gone from the deck.</w:t>
            </w:r>
          </w:p>
        </w:tc>
      </w:tr>
      <w:tr>
        <w:tc>
          <w:tcPr>
            <w:tcW w:type="dxa" w:w="461"/>
          </w:tcPr>
          <w:p>
            <w:r/>
            <w:r>
              <w:rPr>
                <w:sz w:val="18"/>
              </w:rPr>
              <w:t>18</w:t>
            </w:r>
          </w:p>
        </w:tc>
        <w:tc>
          <w:tcPr>
            <w:tcW w:type="dxa" w:w="3139"/>
          </w:tcPr>
          <w:p>
            <w:r/>
            <w:r>
              <w:rPr>
                <w:sz w:val="18"/>
              </w:rPr>
              <w:t>Three continuation slides replace it</w:t>
            </w:r>
          </w:p>
        </w:tc>
        <w:tc>
          <w:tcPr>
            <w:tcW w:type="dxa" w:w="893"/>
            <w:shd w:val="clear" w:fill="D9EAD3"/>
          </w:tcPr>
          <w:p>
            <w:r/>
            <w:r>
              <w:rPr>
                <w:b/>
                <w:color w:val="1A7A1A"/>
                <w:sz w:val="18"/>
              </w:rPr>
              <w:t>PASS</w:t>
            </w:r>
          </w:p>
        </w:tc>
        <w:tc>
          <w:tcPr>
            <w:tcW w:type="dxa" w:w="5587"/>
          </w:tcPr>
          <w:p>
            <w:r/>
            <w:r>
              <w:rPr>
                <w:sz w:val="17"/>
              </w:rPr>
              <w:t>Slides 29, 30 and 31. Live count rises from 31 to 33, total from 37 to 39, exactly the two-slide increase the replacement implies.</w:t>
            </w:r>
          </w:p>
        </w:tc>
      </w:tr>
      <w:tr>
        <w:tc>
          <w:tcPr>
            <w:tcW w:type="dxa" w:w="461"/>
          </w:tcPr>
          <w:p>
            <w:r/>
            <w:r>
              <w:rPr>
                <w:sz w:val="18"/>
              </w:rPr>
              <w:t>19</w:t>
            </w:r>
          </w:p>
        </w:tc>
        <w:tc>
          <w:tcPr>
            <w:tcW w:type="dxa" w:w="3139"/>
          </w:tcPr>
          <w:p>
            <w:r/>
            <w:r>
              <w:rPr>
                <w:sz w:val="18"/>
              </w:rPr>
              <w:t>The first continuation slide explicitly releases people</w:t>
            </w:r>
          </w:p>
        </w:tc>
        <w:tc>
          <w:tcPr>
            <w:tcW w:type="dxa" w:w="893"/>
            <w:shd w:val="clear" w:fill="D9EAD3"/>
          </w:tcPr>
          <w:p>
            <w:r/>
            <w:r>
              <w:rPr>
                <w:b/>
                <w:color w:val="1A7A1A"/>
                <w:sz w:val="18"/>
              </w:rPr>
              <w:t>PASS</w:t>
            </w:r>
          </w:p>
        </w:tc>
        <w:tc>
          <w:tcPr>
            <w:tcW w:type="dxa" w:w="5587"/>
          </w:tcPr>
          <w:p>
            <w:r/>
            <w:r>
              <w:rPr>
                <w:sz w:val="17"/>
              </w:rPr>
              <w:t>Route 1 is stated first, in the participant's own voice, with the release made explicit on the face rather than left to the facilitator.</w:t>
            </w:r>
          </w:p>
        </w:tc>
      </w:tr>
      <w:tr>
        <w:tc>
          <w:tcPr>
            <w:tcW w:type="dxa" w:w="461"/>
          </w:tcPr>
          <w:p>
            <w:r/>
            <w:r>
              <w:rPr>
                <w:sz w:val="18"/>
              </w:rPr>
              <w:t>20</w:t>
            </w:r>
          </w:p>
        </w:tc>
        <w:tc>
          <w:tcPr>
            <w:tcW w:type="dxa" w:w="3139"/>
          </w:tcPr>
          <w:p>
            <w:r/>
            <w:r>
              <w:rPr>
                <w:sz w:val="18"/>
              </w:rPr>
              <w:t>Field Kit is positioned around ownership and repeatability</w:t>
            </w:r>
          </w:p>
        </w:tc>
        <w:tc>
          <w:tcPr>
            <w:tcW w:type="dxa" w:w="893"/>
            <w:shd w:val="clear" w:fill="D9EAD3"/>
          </w:tcPr>
          <w:p>
            <w:r/>
            <w:r>
              <w:rPr>
                <w:b/>
                <w:color w:val="1A7A1A"/>
                <w:sz w:val="18"/>
              </w:rPr>
              <w:t>PASS</w:t>
            </w:r>
          </w:p>
        </w:tc>
        <w:tc>
          <w:tcPr>
            <w:tcW w:type="dxa" w:w="5587"/>
          </w:tcPr>
          <w:p>
            <w:r/>
            <w:r>
              <w:rPr>
                <w:sz w:val="17"/>
              </w:rPr>
              <w:t>The four benefits lead with repeatability and ownership; the closing line frames it as re-reading the position over time, not as the fuller version of the free session.</w:t>
            </w:r>
          </w:p>
        </w:tc>
      </w:tr>
      <w:tr>
        <w:tc>
          <w:tcPr>
            <w:tcW w:type="dxa" w:w="461"/>
          </w:tcPr>
          <w:p>
            <w:r/>
            <w:r>
              <w:rPr>
                <w:sz w:val="18"/>
              </w:rPr>
              <w:t>21</w:t>
            </w:r>
          </w:p>
        </w:tc>
        <w:tc>
          <w:tcPr>
            <w:tcW w:type="dxa" w:w="3139"/>
          </w:tcPr>
          <w:p>
            <w:r/>
            <w:r>
              <w:rPr>
                <w:sz w:val="18"/>
              </w:rPr>
              <w:t>Private Read is positioned around context and decision application</w:t>
            </w:r>
          </w:p>
        </w:tc>
        <w:tc>
          <w:tcPr>
            <w:tcW w:type="dxa" w:w="893"/>
            <w:shd w:val="clear" w:fill="D9EAD3"/>
          </w:tcPr>
          <w:p>
            <w:r/>
            <w:r>
              <w:rPr>
                <w:b/>
                <w:color w:val="1A7A1A"/>
                <w:sz w:val="18"/>
              </w:rPr>
              <w:t>PASS</w:t>
            </w:r>
          </w:p>
        </w:tc>
        <w:tc>
          <w:tcPr>
            <w:tcW w:type="dxa" w:w="5587"/>
          </w:tcPr>
          <w:p>
            <w:r/>
            <w:r>
              <w:rPr>
                <w:sz w:val="17"/>
              </w:rPr>
              <w:t>What you bring, what we do, and the closing distinction all sit on application rather than on more diagnosis.</w:t>
            </w:r>
          </w:p>
        </w:tc>
      </w:tr>
      <w:tr>
        <w:tc>
          <w:tcPr>
            <w:tcW w:type="dxa" w:w="461"/>
          </w:tcPr>
          <w:p>
            <w:r/>
            <w:r>
              <w:rPr>
                <w:sz w:val="18"/>
              </w:rPr>
              <w:t>22</w:t>
            </w:r>
          </w:p>
        </w:tc>
        <w:tc>
          <w:tcPr>
            <w:tcW w:type="dxa" w:w="3139"/>
          </w:tcPr>
          <w:p>
            <w:r/>
            <w:r>
              <w:rPr>
                <w:sz w:val="18"/>
              </w:rPr>
              <w:t>Field Kit source-of-truth price remains $150 internally</w:t>
            </w:r>
          </w:p>
        </w:tc>
        <w:tc>
          <w:tcPr>
            <w:tcW w:type="dxa" w:w="893"/>
            <w:shd w:val="clear" w:fill="D9EAD3"/>
          </w:tcPr>
          <w:p>
            <w:r/>
            <w:r>
              <w:rPr>
                <w:b/>
                <w:color w:val="1A7A1A"/>
                <w:sz w:val="18"/>
              </w:rPr>
              <w:t>PASS</w:t>
            </w:r>
          </w:p>
        </w:tc>
        <w:tc>
          <w:tcPr>
            <w:tcW w:type="dxa" w:w="5587"/>
          </w:tcPr>
          <w:p>
            <w:r/>
            <w:r>
              <w:rPr>
                <w:sz w:val="17"/>
              </w:rPr>
              <w:t>Stated in the slide-30 speaker note as the internal source of truth and in SOP Section 13. Not on any face.</w:t>
            </w:r>
          </w:p>
        </w:tc>
      </w:tr>
      <w:tr>
        <w:tc>
          <w:tcPr>
            <w:tcW w:type="dxa" w:w="461"/>
          </w:tcPr>
          <w:p>
            <w:r/>
            <w:r>
              <w:rPr>
                <w:sz w:val="18"/>
              </w:rPr>
              <w:t>23</w:t>
            </w:r>
          </w:p>
        </w:tc>
        <w:tc>
          <w:tcPr>
            <w:tcW w:type="dxa" w:w="3139"/>
          </w:tcPr>
          <w:p>
            <w:r/>
            <w:r>
              <w:rPr>
                <w:sz w:val="18"/>
              </w:rPr>
              <w:t>Private Read source-of-truth entry price remains $500 internally</w:t>
            </w:r>
          </w:p>
        </w:tc>
        <w:tc>
          <w:tcPr>
            <w:tcW w:type="dxa" w:w="893"/>
            <w:shd w:val="clear" w:fill="D9EAD3"/>
          </w:tcPr>
          <w:p>
            <w:r/>
            <w:r>
              <w:rPr>
                <w:b/>
                <w:color w:val="1A7A1A"/>
                <w:sz w:val="18"/>
              </w:rPr>
              <w:t>PASS</w:t>
            </w:r>
          </w:p>
        </w:tc>
        <w:tc>
          <w:tcPr>
            <w:tcW w:type="dxa" w:w="5587"/>
          </w:tcPr>
          <w:p>
            <w:r/>
            <w:r>
              <w:rPr>
                <w:sz w:val="17"/>
              </w:rPr>
              <w:t>Stated in both continuation-slide notes and in SOP Section 13 as an exact entry price.</w:t>
            </w:r>
          </w:p>
        </w:tc>
      </w:tr>
      <w:tr>
        <w:tc>
          <w:tcPr>
            <w:tcW w:type="dxa" w:w="461"/>
          </w:tcPr>
          <w:p>
            <w:r/>
            <w:r>
              <w:rPr>
                <w:sz w:val="18"/>
              </w:rPr>
              <w:t>24</w:t>
            </w:r>
          </w:p>
        </w:tc>
        <w:tc>
          <w:tcPr>
            <w:tcW w:type="dxa" w:w="3139"/>
          </w:tcPr>
          <w:p>
            <w:r/>
            <w:r>
              <w:rPr>
                <w:sz w:val="18"/>
              </w:rPr>
              <w:t>Neither price appears on any recorded slide face</w:t>
            </w:r>
          </w:p>
        </w:tc>
        <w:tc>
          <w:tcPr>
            <w:tcW w:type="dxa" w:w="893"/>
            <w:shd w:val="clear" w:fill="D9EAD3"/>
          </w:tcPr>
          <w:p>
            <w:r/>
            <w:r>
              <w:rPr>
                <w:b/>
                <w:color w:val="1A7A1A"/>
                <w:sz w:val="18"/>
              </w:rPr>
              <w:t>PASS</w:t>
            </w:r>
          </w:p>
        </w:tc>
        <w:tc>
          <w:tcPr>
            <w:tcW w:type="dxa" w:w="5587"/>
          </w:tcPr>
          <w:p>
            <w:r/>
            <w:r>
              <w:rPr>
                <w:sz w:val="17"/>
              </w:rPr>
              <w:t>Not one currency symbol appears on any of the 39 slide faces, hidden ones included.</w:t>
            </w:r>
          </w:p>
        </w:tc>
      </w:tr>
      <w:tr>
        <w:tc>
          <w:tcPr>
            <w:tcW w:type="dxa" w:w="461"/>
          </w:tcPr>
          <w:p>
            <w:r/>
            <w:r>
              <w:rPr>
                <w:sz w:val="18"/>
              </w:rPr>
              <w:t>25</w:t>
            </w:r>
          </w:p>
        </w:tc>
        <w:tc>
          <w:tcPr>
            <w:tcW w:type="dxa" w:w="3139"/>
          </w:tcPr>
          <w:p>
            <w:r/>
            <w:r>
              <w:rPr>
                <w:sz w:val="18"/>
              </w:rPr>
              <w:t>No Field Kit discount appears</w:t>
            </w:r>
          </w:p>
        </w:tc>
        <w:tc>
          <w:tcPr>
            <w:tcW w:type="dxa" w:w="893"/>
            <w:shd w:val="clear" w:fill="D9EAD3"/>
          </w:tcPr>
          <w:p>
            <w:r/>
            <w:r>
              <w:rPr>
                <w:b/>
                <w:color w:val="1A7A1A"/>
                <w:sz w:val="18"/>
              </w:rPr>
              <w:t>PASS</w:t>
            </w:r>
          </w:p>
        </w:tc>
        <w:tc>
          <w:tcPr>
            <w:tcW w:type="dxa" w:w="5587"/>
          </w:tcPr>
          <w:p>
            <w:r/>
            <w:r>
              <w:rPr>
                <w:sz w:val="17"/>
              </w:rPr>
              <w:t>The SOP states the Field Kit is not discounted, not bundled and never included free. No discount device appears in the deck.</w:t>
            </w:r>
          </w:p>
        </w:tc>
      </w:tr>
      <w:tr>
        <w:tc>
          <w:tcPr>
            <w:tcW w:type="dxa" w:w="461"/>
          </w:tcPr>
          <w:p>
            <w:r/>
            <w:r>
              <w:rPr>
                <w:sz w:val="18"/>
              </w:rPr>
              <w:t>26</w:t>
            </w:r>
          </w:p>
        </w:tc>
        <w:tc>
          <w:tcPr>
            <w:tcW w:type="dxa" w:w="3139"/>
          </w:tcPr>
          <w:p>
            <w:r/>
            <w:r>
              <w:rPr>
                <w:sz w:val="18"/>
              </w:rPr>
              <w:t>No attendee price appears</w:t>
            </w:r>
          </w:p>
        </w:tc>
        <w:tc>
          <w:tcPr>
            <w:tcW w:type="dxa" w:w="893"/>
            <w:shd w:val="clear" w:fill="D9EAD3"/>
          </w:tcPr>
          <w:p>
            <w:r/>
            <w:r>
              <w:rPr>
                <w:b/>
                <w:color w:val="1A7A1A"/>
                <w:sz w:val="18"/>
              </w:rPr>
              <w:t>PASS</w:t>
            </w:r>
          </w:p>
        </w:tc>
        <w:tc>
          <w:tcPr>
            <w:tcW w:type="dxa" w:w="5587"/>
          </w:tcPr>
          <w:p>
            <w:r/>
            <w:r>
              <w:rPr>
                <w:sz w:val="17"/>
              </w:rPr>
              <w:t>No attendee or session-only price is offered anywhere. The phrases appear only inside the prohibition lists that forbid them.</w:t>
            </w:r>
          </w:p>
        </w:tc>
      </w:tr>
      <w:tr>
        <w:tc>
          <w:tcPr>
            <w:tcW w:type="dxa" w:w="461"/>
          </w:tcPr>
          <w:p>
            <w:r/>
            <w:r>
              <w:rPr>
                <w:sz w:val="18"/>
              </w:rPr>
              <w:t>27</w:t>
            </w:r>
          </w:p>
        </w:tc>
        <w:tc>
          <w:tcPr>
            <w:tcW w:type="dxa" w:w="3139"/>
          </w:tcPr>
          <w:p>
            <w:r/>
            <w:r>
              <w:rPr>
                <w:sz w:val="18"/>
              </w:rPr>
              <w:t>No coupon appears</w:t>
            </w:r>
          </w:p>
        </w:tc>
        <w:tc>
          <w:tcPr>
            <w:tcW w:type="dxa" w:w="893"/>
            <w:shd w:val="clear" w:fill="D9EAD3"/>
          </w:tcPr>
          <w:p>
            <w:r/>
            <w:r>
              <w:rPr>
                <w:b/>
                <w:color w:val="1A7A1A"/>
                <w:sz w:val="18"/>
              </w:rPr>
              <w:t>PASS</w:t>
            </w:r>
          </w:p>
        </w:tc>
        <w:tc>
          <w:tcPr>
            <w:tcW w:type="dxa" w:w="5587"/>
          </w:tcPr>
          <w:p>
            <w:r/>
            <w:r>
              <w:rPr>
                <w:sz w:val="17"/>
              </w:rPr>
              <w:t>No coupon exists and none is offered. Every occurrence is a facilitator prohibition — “never mention a coupon code” in the deck notes, and the no-coupon rules in the SOP.</w:t>
            </w:r>
          </w:p>
        </w:tc>
      </w:tr>
      <w:tr>
        <w:tc>
          <w:tcPr>
            <w:tcW w:type="dxa" w:w="461"/>
          </w:tcPr>
          <w:p>
            <w:r/>
            <w:r>
              <w:rPr>
                <w:sz w:val="18"/>
              </w:rPr>
              <w:t>28</w:t>
            </w:r>
          </w:p>
        </w:tc>
        <w:tc>
          <w:tcPr>
            <w:tcW w:type="dxa" w:w="3139"/>
          </w:tcPr>
          <w:p>
            <w:r/>
            <w:r>
              <w:rPr>
                <w:sz w:val="18"/>
              </w:rPr>
              <w:t>No bundle or automatic-credit policy appears</w:t>
            </w:r>
          </w:p>
        </w:tc>
        <w:tc>
          <w:tcPr>
            <w:tcW w:type="dxa" w:w="893"/>
            <w:shd w:val="clear" w:fill="D9EAD3"/>
          </w:tcPr>
          <w:p>
            <w:r/>
            <w:r>
              <w:rPr>
                <w:b/>
                <w:color w:val="1A7A1A"/>
                <w:sz w:val="18"/>
              </w:rPr>
              <w:t>PASS</w:t>
            </w:r>
          </w:p>
        </w:tc>
        <w:tc>
          <w:tcPr>
            <w:tcW w:type="dxa" w:w="5587"/>
          </w:tcPr>
          <w:p>
            <w:r/>
            <w:r>
              <w:rPr>
                <w:sz w:val="17"/>
              </w:rPr>
              <w:t>The SOP states no bundle and no automatic credit, and records that an upgrade-credit policy is deliberately not built in this pass.</w:t>
            </w:r>
          </w:p>
        </w:tc>
      </w:tr>
      <w:tr>
        <w:tc>
          <w:tcPr>
            <w:tcW w:type="dxa" w:w="461"/>
          </w:tcPr>
          <w:p>
            <w:r/>
            <w:r>
              <w:rPr>
                <w:sz w:val="18"/>
              </w:rPr>
              <w:t>29</w:t>
            </w:r>
          </w:p>
        </w:tc>
        <w:tc>
          <w:tcPr>
            <w:tcW w:type="dxa" w:w="3139"/>
          </w:tcPr>
          <w:p>
            <w:r/>
            <w:r>
              <w:rPr>
                <w:sz w:val="18"/>
              </w:rPr>
              <w:t>No artificial scarcity appears</w:t>
            </w:r>
          </w:p>
        </w:tc>
        <w:tc>
          <w:tcPr>
            <w:tcW w:type="dxa" w:w="893"/>
            <w:shd w:val="clear" w:fill="D9EAD3"/>
          </w:tcPr>
          <w:p>
            <w:r/>
            <w:r>
              <w:rPr>
                <w:b/>
                <w:color w:val="1A7A1A"/>
                <w:sz w:val="18"/>
              </w:rPr>
              <w:t>PASS</w:t>
            </w:r>
          </w:p>
        </w:tc>
        <w:tc>
          <w:tcPr>
            <w:tcW w:type="dxa" w:w="5587"/>
          </w:tcPr>
          <w:p>
            <w:r/>
            <w:r>
              <w:rPr>
                <w:sz w:val="17"/>
              </w:rPr>
              <w:t>No cap, no seat count, no deadline and no clock on any face. The deck notes carry only the prohibitions.</w:t>
            </w:r>
          </w:p>
        </w:tc>
      </w:tr>
      <w:tr>
        <w:tc>
          <w:tcPr>
            <w:tcW w:type="dxa" w:w="461"/>
          </w:tcPr>
          <w:p>
            <w:r/>
            <w:r>
              <w:rPr>
                <w:sz w:val="18"/>
              </w:rPr>
              <w:t>30</w:t>
            </w:r>
          </w:p>
        </w:tc>
        <w:tc>
          <w:tcPr>
            <w:tcW w:type="dxa" w:w="3139"/>
          </w:tcPr>
          <w:p>
            <w:r/>
            <w:r>
              <w:rPr>
                <w:sz w:val="18"/>
              </w:rPr>
              <w:t>No purchase is presented as required</w:t>
            </w:r>
          </w:p>
        </w:tc>
        <w:tc>
          <w:tcPr>
            <w:tcW w:type="dxa" w:w="893"/>
            <w:shd w:val="clear" w:fill="D9EAD3"/>
          </w:tcPr>
          <w:p>
            <w:r/>
            <w:r>
              <w:rPr>
                <w:b/>
                <w:color w:val="1A7A1A"/>
                <w:sz w:val="18"/>
              </w:rPr>
              <w:t>PASS</w:t>
            </w:r>
          </w:p>
        </w:tc>
        <w:tc>
          <w:tcPr>
            <w:tcW w:type="dxa" w:w="5587"/>
          </w:tcPr>
          <w:p>
            <w:r/>
            <w:r>
              <w:rPr>
                <w:sz w:val="17"/>
              </w:rPr>
              <w:t>Slide 29 says nothing further is required and the session was built to be complete on its own. Route 1 exists precisely so that buying nothing is a named outcome.</w:t>
            </w:r>
          </w:p>
        </w:tc>
      </w:tr>
      <w:tr>
        <w:tc>
          <w:tcPr>
            <w:tcW w:type="dxa" w:w="461"/>
          </w:tcPr>
          <w:p>
            <w:r/>
            <w:r>
              <w:rPr>
                <w:sz w:val="18"/>
              </w:rPr>
              <w:t>31</w:t>
            </w:r>
          </w:p>
        </w:tc>
        <w:tc>
          <w:tcPr>
            <w:tcW w:type="dxa" w:w="3139"/>
          </w:tcPr>
          <w:p>
            <w:r/>
            <w:r>
              <w:rPr>
                <w:sz w:val="18"/>
              </w:rPr>
              <w:t>Session still lands the evergreen close by minute 75</w:t>
            </w:r>
          </w:p>
        </w:tc>
        <w:tc>
          <w:tcPr>
            <w:tcW w:type="dxa" w:w="893"/>
            <w:shd w:val="clear" w:fill="D9EAD3"/>
          </w:tcPr>
          <w:p>
            <w:r/>
            <w:r>
              <w:rPr>
                <w:b/>
                <w:color w:val="1A7A1A"/>
                <w:sz w:val="18"/>
              </w:rPr>
              <w:t>PASS</w:t>
            </w:r>
          </w:p>
        </w:tc>
        <w:tc>
          <w:tcPr>
            <w:tcW w:type="dxa" w:w="5587"/>
          </w:tcPr>
          <w:p>
            <w:r/>
            <w:r>
              <w:rPr>
                <w:sz w:val="17"/>
              </w:rPr>
              <w:t>The evergreen close is unchanged and still occupies 72:00-75:00 as slide 32. The conversion sequence ends at 72:00.</w:t>
            </w:r>
          </w:p>
        </w:tc>
      </w:tr>
      <w:tr>
        <w:tc>
          <w:tcPr>
            <w:tcW w:type="dxa" w:w="461"/>
          </w:tcPr>
          <w:p>
            <w:r/>
            <w:r>
              <w:rPr>
                <w:sz w:val="18"/>
              </w:rPr>
              <w:t>32</w:t>
            </w:r>
          </w:p>
        </w:tc>
        <w:tc>
          <w:tcPr>
            <w:tcW w:type="dxa" w:w="3139"/>
          </w:tcPr>
          <w:p>
            <w:r/>
            <w:r>
              <w:rPr>
                <w:sz w:val="18"/>
              </w:rPr>
              <w:t>The three-slide sequence stays inside 68:00-72:00</w:t>
            </w:r>
          </w:p>
        </w:tc>
        <w:tc>
          <w:tcPr>
            <w:tcW w:type="dxa" w:w="893"/>
            <w:shd w:val="clear" w:fill="D9EAD3"/>
          </w:tcPr>
          <w:p>
            <w:r/>
            <w:r>
              <w:rPr>
                <w:b/>
                <w:color w:val="1A7A1A"/>
                <w:sz w:val="18"/>
              </w:rPr>
              <w:t>PASS</w:t>
            </w:r>
          </w:p>
        </w:tc>
        <w:tc>
          <w:tcPr>
            <w:tcW w:type="dxa" w:w="5587"/>
          </w:tcPr>
          <w:p>
            <w:r/>
            <w:r>
              <w:rPr>
                <w:sz w:val="17"/>
              </w:rPr>
              <w:t>Seventy-five, eighty and eighty-five seconds. Four minutes total, unchanged from the single slide it replaces. The session is still 90 minutes.</w:t>
            </w:r>
          </w:p>
        </w:tc>
      </w:tr>
      <w:tr>
        <w:tc>
          <w:tcPr>
            <w:tcW w:type="dxa" w:w="461"/>
          </w:tcPr>
          <w:p>
            <w:r/>
            <w:r>
              <w:rPr>
                <w:sz w:val="18"/>
              </w:rPr>
              <w:t>33</w:t>
            </w:r>
          </w:p>
        </w:tc>
        <w:tc>
          <w:tcPr>
            <w:tcW w:type="dxa" w:w="3139"/>
          </w:tcPr>
          <w:p>
            <w:r/>
            <w:r>
              <w:rPr>
                <w:sz w:val="18"/>
              </w:rPr>
              <w:t>Questions &amp; Applications remain outside the recording</w:t>
            </w:r>
          </w:p>
        </w:tc>
        <w:tc>
          <w:tcPr>
            <w:tcW w:type="dxa" w:w="893"/>
            <w:shd w:val="clear" w:fill="D9EAD3"/>
          </w:tcPr>
          <w:p>
            <w:r/>
            <w:r>
              <w:rPr>
                <w:b/>
                <w:color w:val="1A7A1A"/>
                <w:sz w:val="18"/>
              </w:rPr>
              <w:t>PASS</w:t>
            </w:r>
          </w:p>
        </w:tc>
        <w:tc>
          <w:tcPr>
            <w:tcW w:type="dxa" w:w="5587"/>
          </w:tcPr>
          <w:p>
            <w:r/>
            <w:r>
              <w:rPr>
                <w:sz w:val="17"/>
              </w:rPr>
              <w:t>Slide 33 is the Q&amp;A. Its note opens RECORDING OFF and its face is marked LIVE ONLY · NOT IN THE EVERGREEN REPLAY.</w:t>
            </w:r>
          </w:p>
        </w:tc>
      </w:tr>
      <w:tr>
        <w:tc>
          <w:tcPr>
            <w:tcW w:type="dxa" w:w="461"/>
          </w:tcPr>
          <w:p>
            <w:r/>
            <w:r>
              <w:rPr>
                <w:sz w:val="18"/>
              </w:rPr>
              <w:t>34</w:t>
            </w:r>
          </w:p>
        </w:tc>
        <w:tc>
          <w:tcPr>
            <w:tcW w:type="dxa" w:w="3139"/>
          </w:tcPr>
          <w:p>
            <w:r/>
            <w:r>
              <w:rPr>
                <w:sz w:val="18"/>
              </w:rPr>
              <w:t>Institutional close remains available</w:t>
            </w:r>
          </w:p>
        </w:tc>
        <w:tc>
          <w:tcPr>
            <w:tcW w:type="dxa" w:w="893"/>
            <w:shd w:val="clear" w:fill="D9EAD3"/>
          </w:tcPr>
          <w:p>
            <w:r/>
            <w:r>
              <w:rPr>
                <w:b/>
                <w:color w:val="1A7A1A"/>
                <w:sz w:val="18"/>
              </w:rPr>
              <w:t>PASS</w:t>
            </w:r>
          </w:p>
        </w:tc>
        <w:tc>
          <w:tcPr>
            <w:tcW w:type="dxa" w:w="5587"/>
          </w:tcPr>
          <w:p>
            <w:r/>
            <w:r>
              <w:rPr>
                <w:sz w:val="17"/>
              </w:rPr>
              <w:t>Hidden slide 38 is the optional institutional delivery close, carried across unchanged.</w:t>
            </w:r>
          </w:p>
        </w:tc>
      </w:tr>
      <w:tr>
        <w:tc>
          <w:tcPr>
            <w:tcW w:type="dxa" w:w="461"/>
          </w:tcPr>
          <w:p>
            <w:r/>
            <w:r>
              <w:rPr>
                <w:sz w:val="18"/>
              </w:rPr>
              <w:t>35</w:t>
            </w:r>
          </w:p>
        </w:tc>
        <w:tc>
          <w:tcPr>
            <w:tcW w:type="dxa" w:w="3139"/>
          </w:tcPr>
          <w:p>
            <w:r/>
            <w:r>
              <w:rPr>
                <w:sz w:val="18"/>
              </w:rPr>
              <w:t>The institutional variant can skip all three commercial slides</w:t>
            </w:r>
          </w:p>
        </w:tc>
        <w:tc>
          <w:tcPr>
            <w:tcW w:type="dxa" w:w="893"/>
            <w:shd w:val="clear" w:fill="D9EAD3"/>
          </w:tcPr>
          <w:p>
            <w:r/>
            <w:r>
              <w:rPr>
                <w:b/>
                <w:color w:val="1A7A1A"/>
                <w:sz w:val="18"/>
              </w:rPr>
              <w:t>PASS</w:t>
            </w:r>
          </w:p>
        </w:tc>
        <w:tc>
          <w:tcPr>
            <w:tcW w:type="dxa" w:w="5587"/>
          </w:tcPr>
          <w:p>
            <w:r/>
            <w:r>
              <w:rPr>
                <w:sz w:val="17"/>
              </w:rPr>
              <w:t>Stated on the face-adjacent note of slide 31, in the institutional close's own note, and in SOP Section 13.</w:t>
            </w:r>
          </w:p>
        </w:tc>
      </w:tr>
      <w:tr>
        <w:tc>
          <w:tcPr>
            <w:tcW w:type="dxa" w:w="461"/>
          </w:tcPr>
          <w:p>
            <w:r/>
            <w:r>
              <w:rPr>
                <w:sz w:val="18"/>
              </w:rPr>
              <w:t>36</w:t>
            </w:r>
          </w:p>
        </w:tc>
        <w:tc>
          <w:tcPr>
            <w:tcW w:type="dxa" w:w="3139"/>
          </w:tcPr>
          <w:p>
            <w:r/>
            <w:r>
              <w:rPr>
                <w:sz w:val="18"/>
              </w:rPr>
              <w:t>No URLs were invented</w:t>
            </w:r>
          </w:p>
        </w:tc>
        <w:tc>
          <w:tcPr>
            <w:tcW w:type="dxa" w:w="893"/>
            <w:shd w:val="clear" w:fill="D9EAD3"/>
          </w:tcPr>
          <w:p>
            <w:r/>
            <w:r>
              <w:rPr>
                <w:b/>
                <w:color w:val="1A7A1A"/>
                <w:sz w:val="18"/>
              </w:rPr>
              <w:t>PASS</w:t>
            </w:r>
          </w:p>
        </w:tc>
        <w:tc>
          <w:tcPr>
            <w:tcW w:type="dxa" w:w="5587"/>
          </w:tcPr>
          <w:p>
            <w:r/>
            <w:r>
              <w:rPr>
                <w:sz w:val="17"/>
              </w:rPr>
              <w:t>No link of any kind appears on a slide face. The only URL in the deck is temidayoafonja.com, already printed on the shipped Field Kit cover image — an existing published asset, not a link authored here.</w:t>
            </w:r>
          </w:p>
        </w:tc>
      </w:tr>
    </w:tbl>
    <w:p>
      <w:pPr>
        <w:spacing w:after="120"/>
      </w:pPr>
    </w:p>
    <w:p>
      <w:pPr>
        <w:spacing w:before="120" w:after="120"/>
      </w:pPr>
      <w:r>
        <w:rPr>
          <w:color w:val="555555"/>
          <w:sz w:val="16"/>
        </w:rPr>
        <w:t>――――――――――――――――――――――――――――――――――――――――――――――――――――――――――――――――――――――――――――――――――――――――――</w:t>
      </w:r>
    </w:p>
    <w:p>
      <w:pPr>
        <w:spacing w:before="320" w:after="160"/>
      </w:pPr>
      <w:r>
        <w:rPr>
          <w:b/>
          <w:color w:val="0F2347"/>
          <w:sz w:val="32"/>
        </w:rPr>
        <w:t>Group C — the carried method and architecture verifications, re-run</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37</w:t>
            </w:r>
          </w:p>
        </w:tc>
        <w:tc>
          <w:tcPr>
            <w:tcW w:type="dxa" w:w="3139"/>
          </w:tcPr>
          <w:p>
            <w:r/>
            <w:r>
              <w:rPr>
                <w:sz w:val="18"/>
              </w:rPr>
              <w:t>Flagship deck is a separate branch from v5.3.1</w:t>
            </w:r>
          </w:p>
        </w:tc>
        <w:tc>
          <w:tcPr>
            <w:tcW w:type="dxa" w:w="893"/>
            <w:shd w:val="clear" w:fill="D9EAD3"/>
          </w:tcPr>
          <w:p>
            <w:r/>
            <w:r>
              <w:rPr>
                <w:b/>
                <w:color w:val="1A7A1A"/>
                <w:sz w:val="18"/>
              </w:rPr>
              <w:t>PASS</w:t>
            </w:r>
          </w:p>
        </w:tc>
        <w:tc>
          <w:tcPr>
            <w:tcW w:type="dxa" w:w="5587"/>
          </w:tcPr>
          <w:p>
            <w:r/>
            <w:r>
              <w:rPr>
                <w:sz w:val="17"/>
              </w:rPr>
              <w:t>39 slides against 46. Two distinct products; neither is derived from the other at build time.</w:t>
            </w:r>
          </w:p>
        </w:tc>
      </w:tr>
      <w:tr>
        <w:tc>
          <w:tcPr>
            <w:tcW w:type="dxa" w:w="461"/>
          </w:tcPr>
          <w:p>
            <w:r/>
            <w:r>
              <w:rPr>
                <w:sz w:val="18"/>
              </w:rPr>
              <w:t>38</w:t>
            </w:r>
          </w:p>
        </w:tc>
        <w:tc>
          <w:tcPr>
            <w:tcW w:type="dxa" w:w="3139"/>
          </w:tcPr>
          <w:p>
            <w:r/>
            <w:r>
              <w:rPr>
                <w:sz w:val="18"/>
              </w:rPr>
              <w:t>v5.3.1 FINAL is byte-identical and untouched</w:t>
            </w:r>
          </w:p>
        </w:tc>
        <w:tc>
          <w:tcPr>
            <w:tcW w:type="dxa" w:w="893"/>
            <w:shd w:val="clear" w:fill="D9EAD3"/>
          </w:tcPr>
          <w:p>
            <w:r/>
            <w:r>
              <w:rPr>
                <w:b/>
                <w:color w:val="1A7A1A"/>
                <w:sz w:val="18"/>
              </w:rPr>
              <w:t>PASS</w:t>
            </w:r>
          </w:p>
        </w:tc>
        <w:tc>
          <w:tcPr>
            <w:tcW w:type="dxa" w:w="5587"/>
          </w:tcPr>
          <w:p>
            <w:r/>
            <w:r>
              <w:rPr>
                <w:sz w:val="17"/>
              </w:rPr>
              <w:t>SHA-256 matches the uploaded source. Opened read-only for method verification, never written.</w:t>
            </w:r>
          </w:p>
        </w:tc>
      </w:tr>
      <w:tr>
        <w:tc>
          <w:tcPr>
            <w:tcW w:type="dxa" w:w="461"/>
          </w:tcPr>
          <w:p>
            <w:r/>
            <w:r>
              <w:rPr>
                <w:sz w:val="18"/>
              </w:rPr>
              <w:t>39</w:t>
            </w:r>
          </w:p>
        </w:tc>
        <w:tc>
          <w:tcPr>
            <w:tcW w:type="dxa" w:w="3139"/>
          </w:tcPr>
          <w:p>
            <w:r/>
            <w:r>
              <w:rPr>
                <w:sz w:val="18"/>
              </w:rPr>
              <w:t>Architecture v1.0 is untouched</w:t>
            </w:r>
          </w:p>
        </w:tc>
        <w:tc>
          <w:tcPr>
            <w:tcW w:type="dxa" w:w="893"/>
            <w:shd w:val="clear" w:fill="D9EAD3"/>
          </w:tcPr>
          <w:p>
            <w:r/>
            <w:r>
              <w:rPr>
                <w:b/>
                <w:color w:val="1A7A1A"/>
                <w:sz w:val="18"/>
              </w:rPr>
              <w:t>PASS</w:t>
            </w:r>
          </w:p>
        </w:tc>
        <w:tc>
          <w:tcPr>
            <w:tcW w:type="dxa" w:w="5587"/>
          </w:tcPr>
          <w:p>
            <w:r/>
            <w:r>
              <w:rPr>
                <w:sz w:val="17"/>
              </w:rPr>
              <w:t>Hash-identical to the copy committed before this pass. Its build block stays disabled.</w:t>
            </w:r>
          </w:p>
        </w:tc>
      </w:tr>
      <w:tr>
        <w:tc>
          <w:tcPr>
            <w:tcW w:type="dxa" w:w="461"/>
          </w:tcPr>
          <w:p>
            <w:r/>
            <w:r>
              <w:rPr>
                <w:sz w:val="18"/>
              </w:rPr>
              <w:t>40</w:t>
            </w:r>
          </w:p>
        </w:tc>
        <w:tc>
          <w:tcPr>
            <w:tcW w:type="dxa" w:w="3139"/>
          </w:tcPr>
          <w:p>
            <w:r/>
            <w:r>
              <w:rPr>
                <w:sz w:val="18"/>
              </w:rPr>
              <w:t>All twelve statements remain exact</w:t>
            </w:r>
          </w:p>
        </w:tc>
        <w:tc>
          <w:tcPr>
            <w:tcW w:type="dxa" w:w="893"/>
            <w:shd w:val="clear" w:fill="D9EAD3"/>
          </w:tcPr>
          <w:p>
            <w:r/>
            <w:r>
              <w:rPr>
                <w:b/>
                <w:color w:val="1A7A1A"/>
                <w:sz w:val="18"/>
              </w:rPr>
              <w:t>PASS</w:t>
            </w:r>
          </w:p>
        </w:tc>
        <w:tc>
          <w:tcPr>
            <w:tcW w:type="dxa" w:w="5587"/>
          </w:tcPr>
          <w:p>
            <w:r/>
            <w:r>
              <w:rPr>
                <w:sz w:val="17"/>
              </w:rPr>
              <w:t>Twelve of twelve verbatim against v5.3.1 FINAL, including the curly apostrophe in 8.</w:t>
            </w:r>
          </w:p>
        </w:tc>
      </w:tr>
      <w:tr>
        <w:tc>
          <w:tcPr>
            <w:tcW w:type="dxa" w:w="461"/>
          </w:tcPr>
          <w:p>
            <w:r/>
            <w:r>
              <w:rPr>
                <w:sz w:val="18"/>
              </w:rPr>
              <w:t>41</w:t>
            </w:r>
          </w:p>
        </w:tc>
        <w:tc>
          <w:tcPr>
            <w:tcW w:type="dxa" w:w="3139"/>
          </w:tcPr>
          <w:p>
            <w:r/>
            <w:r>
              <w:rPr>
                <w:sz w:val="18"/>
              </w:rPr>
              <w:t>Density allocation exact</w:t>
            </w:r>
          </w:p>
        </w:tc>
        <w:tc>
          <w:tcPr>
            <w:tcW w:type="dxa" w:w="893"/>
            <w:shd w:val="clear" w:fill="D9EAD3"/>
          </w:tcPr>
          <w:p>
            <w:r/>
            <w:r>
              <w:rPr>
                <w:b/>
                <w:color w:val="1A7A1A"/>
                <w:sz w:val="18"/>
              </w:rPr>
              <w:t>PASS</w:t>
            </w:r>
          </w:p>
        </w:tc>
        <w:tc>
          <w:tcPr>
            <w:tcW w:type="dxa" w:w="5587"/>
          </w:tcPr>
          <w:p>
            <w:r/>
            <w:r>
              <w:rPr>
                <w:sz w:val="17"/>
              </w:rPr>
              <w:t>Slides 8 and 9; worksheet page 2.</w:t>
            </w:r>
          </w:p>
        </w:tc>
      </w:tr>
      <w:tr>
        <w:tc>
          <w:tcPr>
            <w:tcW w:type="dxa" w:w="461"/>
          </w:tcPr>
          <w:p>
            <w:r/>
            <w:r>
              <w:rPr>
                <w:sz w:val="18"/>
              </w:rPr>
              <w:t>42</w:t>
            </w:r>
          </w:p>
        </w:tc>
        <w:tc>
          <w:tcPr>
            <w:tcW w:type="dxa" w:w="3139"/>
          </w:tcPr>
          <w:p>
            <w:r/>
            <w:r>
              <w:rPr>
                <w:sz w:val="18"/>
              </w:rPr>
              <w:t>Optionality allocation exact</w:t>
            </w:r>
          </w:p>
        </w:tc>
        <w:tc>
          <w:tcPr>
            <w:tcW w:type="dxa" w:w="893"/>
            <w:shd w:val="clear" w:fill="D9EAD3"/>
          </w:tcPr>
          <w:p>
            <w:r/>
            <w:r>
              <w:rPr>
                <w:b/>
                <w:color w:val="1A7A1A"/>
                <w:sz w:val="18"/>
              </w:rPr>
              <w:t>PASS</w:t>
            </w:r>
          </w:p>
        </w:tc>
        <w:tc>
          <w:tcPr>
            <w:tcW w:type="dxa" w:w="5587"/>
          </w:tcPr>
          <w:p>
            <w:r/>
            <w:r>
              <w:rPr>
                <w:sz w:val="17"/>
              </w:rPr>
              <w:t>Slides 11 and 12; worksheet page 3.</w:t>
            </w:r>
          </w:p>
        </w:tc>
      </w:tr>
      <w:tr>
        <w:tc>
          <w:tcPr>
            <w:tcW w:type="dxa" w:w="461"/>
          </w:tcPr>
          <w:p>
            <w:r/>
            <w:r>
              <w:rPr>
                <w:sz w:val="18"/>
              </w:rPr>
              <w:t>43</w:t>
            </w:r>
          </w:p>
        </w:tc>
        <w:tc>
          <w:tcPr>
            <w:tcW w:type="dxa" w:w="3139"/>
          </w:tcPr>
          <w:p>
            <w:r/>
            <w:r>
              <w:rPr>
                <w:sz w:val="18"/>
              </w:rPr>
              <w:t>1–5 scale exact</w:t>
            </w:r>
          </w:p>
        </w:tc>
        <w:tc>
          <w:tcPr>
            <w:tcW w:type="dxa" w:w="893"/>
            <w:shd w:val="clear" w:fill="D9EAD3"/>
          </w:tcPr>
          <w:p>
            <w:r/>
            <w:r>
              <w:rPr>
                <w:b/>
                <w:color w:val="1A7A1A"/>
                <w:sz w:val="18"/>
              </w:rPr>
              <w:t>PASS</w:t>
            </w:r>
          </w:p>
        </w:tc>
        <w:tc>
          <w:tcPr>
            <w:tcW w:type="dxa" w:w="5587"/>
          </w:tcPr>
          <w:p>
            <w:r/>
            <w:r>
              <w:rPr>
                <w:sz w:val="17"/>
              </w:rPr>
              <w:t>Unchanged on every statement slide; the worksheet prints the anchors above each block.</w:t>
            </w:r>
          </w:p>
        </w:tc>
      </w:tr>
      <w:tr>
        <w:tc>
          <w:tcPr>
            <w:tcW w:type="dxa" w:w="461"/>
          </w:tcPr>
          <w:p>
            <w:r/>
            <w:r>
              <w:rPr>
                <w:sz w:val="18"/>
              </w:rPr>
              <w:t>44</w:t>
            </w:r>
          </w:p>
        </w:tc>
        <w:tc>
          <w:tcPr>
            <w:tcW w:type="dxa" w:w="3139"/>
          </w:tcPr>
          <w:p>
            <w:r/>
            <w:r>
              <w:rPr>
                <w:sz w:val="18"/>
              </w:rPr>
              <w:t>Ninety-day evidence window exact</w:t>
            </w:r>
          </w:p>
        </w:tc>
        <w:tc>
          <w:tcPr>
            <w:tcW w:type="dxa" w:w="893"/>
            <w:shd w:val="clear" w:fill="D9EAD3"/>
          </w:tcPr>
          <w:p>
            <w:r/>
            <w:r>
              <w:rPr>
                <w:b/>
                <w:color w:val="1A7A1A"/>
                <w:sz w:val="18"/>
              </w:rPr>
              <w:t>PASS</w:t>
            </w:r>
          </w:p>
        </w:tc>
        <w:tc>
          <w:tcPr>
            <w:tcW w:type="dxa" w:w="5587"/>
          </w:tcPr>
          <w:p>
            <w:r/>
            <w:r>
              <w:rPr>
                <w:sz w:val="17"/>
              </w:rPr>
              <w:t>Deck slide 17 and worksheet page 4 both carry the v5.3.1 sentence verbatim.</w:t>
            </w:r>
          </w:p>
        </w:tc>
      </w:tr>
      <w:tr>
        <w:tc>
          <w:tcPr>
            <w:tcW w:type="dxa" w:w="461"/>
          </w:tcPr>
          <w:p>
            <w:r/>
            <w:r>
              <w:rPr>
                <w:sz w:val="18"/>
              </w:rPr>
              <w:t>45</w:t>
            </w:r>
          </w:p>
        </w:tc>
        <w:tc>
          <w:tcPr>
            <w:tcW w:type="dxa" w:w="3139"/>
          </w:tcPr>
          <w:p>
            <w:r/>
            <w:r>
              <w:rPr>
                <w:sz w:val="18"/>
              </w:rPr>
              <w:t>Symmetric protocol intact</w:t>
            </w:r>
          </w:p>
        </w:tc>
        <w:tc>
          <w:tcPr>
            <w:tcW w:type="dxa" w:w="893"/>
            <w:shd w:val="clear" w:fill="D9EAD3"/>
          </w:tcPr>
          <w:p>
            <w:r/>
            <w:r>
              <w:rPr>
                <w:b/>
                <w:color w:val="1A7A1A"/>
                <w:sz w:val="18"/>
              </w:rPr>
              <w:t>PASS</w:t>
            </w:r>
          </w:p>
        </w:tc>
        <w:tc>
          <w:tcPr>
            <w:tcW w:type="dxa" w:w="5587"/>
          </w:tcPr>
          <w:p>
            <w:r/>
            <w:r>
              <w:rPr>
                <w:sz w:val="17"/>
              </w:rPr>
              <w:t>Low scores still require a counterexample or an absence, stated in both directions.</w:t>
            </w:r>
          </w:p>
        </w:tc>
      </w:tr>
      <w:tr>
        <w:tc>
          <w:tcPr>
            <w:tcW w:type="dxa" w:w="461"/>
          </w:tcPr>
          <w:p>
            <w:r/>
            <w:r>
              <w:rPr>
                <w:sz w:val="18"/>
              </w:rPr>
              <w:t>46</w:t>
            </w:r>
          </w:p>
        </w:tc>
        <w:tc>
          <w:tcPr>
            <w:tcW w:type="dxa" w:w="3139"/>
          </w:tcPr>
          <w:p>
            <w:r/>
            <w:r>
              <w:rPr>
                <w:sz w:val="18"/>
              </w:rPr>
              <w:t>3 means mixed</w:t>
            </w:r>
          </w:p>
        </w:tc>
        <w:tc>
          <w:tcPr>
            <w:tcW w:type="dxa" w:w="893"/>
            <w:shd w:val="clear" w:fill="D9EAD3"/>
          </w:tcPr>
          <w:p>
            <w:r/>
            <w:r>
              <w:rPr>
                <w:b/>
                <w:color w:val="1A7A1A"/>
                <w:sz w:val="18"/>
              </w:rPr>
              <w:t>PASS</w:t>
            </w:r>
          </w:p>
        </w:tc>
        <w:tc>
          <w:tcPr>
            <w:tcW w:type="dxa" w:w="5587"/>
          </w:tcPr>
          <w:p>
            <w:r/>
            <w:r>
              <w:rPr>
                <w:sz w:val="17"/>
              </w:rPr>
              <w:t>Both artifacts.</w:t>
            </w:r>
          </w:p>
        </w:tc>
      </w:tr>
      <w:tr>
        <w:tc>
          <w:tcPr>
            <w:tcW w:type="dxa" w:w="461"/>
          </w:tcPr>
          <w:p>
            <w:r/>
            <w:r>
              <w:rPr>
                <w:sz w:val="18"/>
              </w:rPr>
              <w:t>47</w:t>
            </w:r>
          </w:p>
        </w:tc>
        <w:tc>
          <w:tcPr>
            <w:tcW w:type="dxa" w:w="3139"/>
          </w:tcPr>
          <w:p>
            <w:r/>
            <w:r>
              <w:rPr>
                <w:sz w:val="18"/>
              </w:rPr>
              <w:t>? means unsupported</w:t>
            </w:r>
          </w:p>
        </w:tc>
        <w:tc>
          <w:tcPr>
            <w:tcW w:type="dxa" w:w="893"/>
            <w:shd w:val="clear" w:fill="D9EAD3"/>
          </w:tcPr>
          <w:p>
            <w:r/>
            <w:r>
              <w:rPr>
                <w:b/>
                <w:color w:val="1A7A1A"/>
                <w:sz w:val="18"/>
              </w:rPr>
              <w:t>PASS</w:t>
            </w:r>
          </w:p>
        </w:tc>
        <w:tc>
          <w:tcPr>
            <w:tcW w:type="dxa" w:w="5587"/>
          </w:tcPr>
          <w:p>
            <w:r/>
            <w:r>
              <w:rPr>
                <w:sz w:val="17"/>
              </w:rPr>
              <w:t>Same sentence in both.</w:t>
            </w:r>
          </w:p>
        </w:tc>
      </w:tr>
      <w:tr>
        <w:tc>
          <w:tcPr>
            <w:tcW w:type="dxa" w:w="461"/>
          </w:tcPr>
          <w:p>
            <w:r/>
            <w:r>
              <w:rPr>
                <w:sz w:val="18"/>
              </w:rPr>
              <w:t>48</w:t>
            </w:r>
          </w:p>
        </w:tc>
        <w:tc>
          <w:tcPr>
            <w:tcW w:type="dxa" w:w="3139"/>
          </w:tcPr>
          <w:p>
            <w:r/>
            <w:r>
              <w:rPr>
                <w:sz w:val="18"/>
              </w:rPr>
              <w:t>1–2 marked items = provisional + sensitivity</w:t>
            </w:r>
          </w:p>
        </w:tc>
        <w:tc>
          <w:tcPr>
            <w:tcW w:type="dxa" w:w="893"/>
            <w:shd w:val="clear" w:fill="D9EAD3"/>
          </w:tcPr>
          <w:p>
            <w:r/>
            <w:r>
              <w:rPr>
                <w:b/>
                <w:color w:val="1A7A1A"/>
                <w:sz w:val="18"/>
              </w:rPr>
              <w:t>PASS</w:t>
            </w:r>
          </w:p>
        </w:tc>
        <w:tc>
          <w:tcPr>
            <w:tcW w:type="dxa" w:w="5587"/>
          </w:tcPr>
          <w:p>
            <w:r/>
            <w:r>
              <w:rPr>
                <w:sz w:val="17"/>
              </w:rPr>
              <w:t>Deck slide 23 tier two; worksheet pages 4 and 7.</w:t>
            </w:r>
          </w:p>
        </w:tc>
      </w:tr>
      <w:tr>
        <w:tc>
          <w:tcPr>
            <w:tcW w:type="dxa" w:w="461"/>
          </w:tcPr>
          <w:p>
            <w:r/>
            <w:r>
              <w:rPr>
                <w:sz w:val="18"/>
              </w:rPr>
              <w:t>49</w:t>
            </w:r>
          </w:p>
        </w:tc>
        <w:tc>
          <w:tcPr>
            <w:tcW w:type="dxa" w:w="3139"/>
          </w:tcPr>
          <w:p>
            <w:r/>
            <w:r>
              <w:rPr>
                <w:sz w:val="18"/>
              </w:rPr>
              <w:t>3+ marked items = incomplete axis</w:t>
            </w:r>
          </w:p>
        </w:tc>
        <w:tc>
          <w:tcPr>
            <w:tcW w:type="dxa" w:w="893"/>
            <w:shd w:val="clear" w:fill="D9EAD3"/>
          </w:tcPr>
          <w:p>
            <w:r/>
            <w:r>
              <w:rPr>
                <w:b/>
                <w:color w:val="1A7A1A"/>
                <w:sz w:val="18"/>
              </w:rPr>
              <w:t>PASS</w:t>
            </w:r>
          </w:p>
        </w:tc>
        <w:tc>
          <w:tcPr>
            <w:tcW w:type="dxa" w:w="5587"/>
          </w:tcPr>
          <w:p>
            <w:r/>
            <w:r>
              <w:rPr>
                <w:sz w:val="17"/>
              </w:rPr>
              <w:t>Deck slide 23 tier three; worksheet pages 4 and 7.</w:t>
            </w:r>
          </w:p>
        </w:tc>
      </w:tr>
      <w:tr>
        <w:tc>
          <w:tcPr>
            <w:tcW w:type="dxa" w:w="461"/>
          </w:tcPr>
          <w:p>
            <w:r/>
            <w:r>
              <w:rPr>
                <w:sz w:val="18"/>
              </w:rPr>
              <w:t>50</w:t>
            </w:r>
          </w:p>
        </w:tc>
        <w:tc>
          <w:tcPr>
            <w:tcW w:type="dxa" w:w="3139"/>
          </w:tcPr>
          <w:p>
            <w:r/>
            <w:r>
              <w:rPr>
                <w:sz w:val="18"/>
              </w:rPr>
              <w:t>No neighbouring score tested below 1 or above 5</w:t>
            </w:r>
          </w:p>
        </w:tc>
        <w:tc>
          <w:tcPr>
            <w:tcW w:type="dxa" w:w="893"/>
            <w:shd w:val="clear" w:fill="D9EAD3"/>
          </w:tcPr>
          <w:p>
            <w:r/>
            <w:r>
              <w:rPr>
                <w:b/>
                <w:color w:val="1A7A1A"/>
                <w:sz w:val="18"/>
              </w:rPr>
              <w:t>PASS</w:t>
            </w:r>
          </w:p>
        </w:tc>
        <w:tc>
          <w:tcPr>
            <w:tcW w:type="dxa" w:w="5587"/>
          </w:tcPr>
          <w:p>
            <w:r/>
            <w:r>
              <w:rPr>
                <w:sz w:val="17"/>
              </w:rPr>
              <w:t>Inside the slide-23 procedure and on worksheet page 4. Also enforced by the field validation, which cannot accept 0 or 6.</w:t>
            </w:r>
          </w:p>
        </w:tc>
      </w:tr>
      <w:tr>
        <w:tc>
          <w:tcPr>
            <w:tcW w:type="dxa" w:w="461"/>
          </w:tcPr>
          <w:p>
            <w:r/>
            <w:r>
              <w:rPr>
                <w:sz w:val="18"/>
              </w:rPr>
              <w:t>51</w:t>
            </w:r>
          </w:p>
        </w:tc>
        <w:tc>
          <w:tcPr>
            <w:tcW w:type="dxa" w:w="3139"/>
          </w:tcPr>
          <w:p>
            <w:r/>
            <w:r>
              <w:rPr>
                <w:sz w:val="18"/>
              </w:rPr>
              <w:t>17–21 boundary band intact</w:t>
            </w:r>
          </w:p>
        </w:tc>
        <w:tc>
          <w:tcPr>
            <w:tcW w:type="dxa" w:w="893"/>
            <w:shd w:val="clear" w:fill="D9EAD3"/>
          </w:tcPr>
          <w:p>
            <w:r/>
            <w:r>
              <w:rPr>
                <w:b/>
                <w:color w:val="1A7A1A"/>
                <w:sz w:val="18"/>
              </w:rPr>
              <w:t>PASS</w:t>
            </w:r>
          </w:p>
        </w:tc>
        <w:tc>
          <w:tcPr>
            <w:tcW w:type="dxa" w:w="5587"/>
          </w:tcPr>
          <w:p>
            <w:r/>
            <w:r>
              <w:rPr>
                <w:sz w:val="17"/>
              </w:rPr>
              <w:t>Slide 23 and every worksheet total block.</w:t>
            </w:r>
          </w:p>
        </w:tc>
      </w:tr>
      <w:tr>
        <w:tc>
          <w:tcPr>
            <w:tcW w:type="dxa" w:w="461"/>
          </w:tcPr>
          <w:p>
            <w:r/>
            <w:r>
              <w:rPr>
                <w:sz w:val="18"/>
              </w:rPr>
              <w:t>52</w:t>
            </w:r>
          </w:p>
        </w:tc>
        <w:tc>
          <w:tcPr>
            <w:tcW w:type="dxa" w:w="3139"/>
          </w:tcPr>
          <w:p>
            <w:r/>
            <w:r>
              <w:rPr>
                <w:sz w:val="18"/>
              </w:rPr>
              <w:t>Confidence is 1–5 in both reads</w:t>
            </w:r>
          </w:p>
        </w:tc>
        <w:tc>
          <w:tcPr>
            <w:tcW w:type="dxa" w:w="893"/>
            <w:shd w:val="clear" w:fill="D9EAD3"/>
          </w:tcPr>
          <w:p>
            <w:r/>
            <w:r>
              <w:rPr>
                <w:b/>
                <w:color w:val="1A7A1A"/>
                <w:sz w:val="18"/>
              </w:rPr>
              <w:t>PASS</w:t>
            </w:r>
          </w:p>
        </w:tc>
        <w:tc>
          <w:tcPr>
            <w:tcW w:type="dxa" w:w="5587"/>
          </w:tcPr>
          <w:p>
            <w:r/>
            <w:r>
              <w:rPr>
                <w:sz w:val="17"/>
              </w:rPr>
              <w:t>Deck slides 16 and 24; worksheet pages 3 and 7. No high/medium/low remains.</w:t>
            </w:r>
          </w:p>
        </w:tc>
      </w:tr>
      <w:tr>
        <w:tc>
          <w:tcPr>
            <w:tcW w:type="dxa" w:w="461"/>
          </w:tcPr>
          <w:p>
            <w:r/>
            <w:r>
              <w:rPr>
                <w:sz w:val="18"/>
              </w:rPr>
              <w:t>53</w:t>
            </w:r>
          </w:p>
        </w:tc>
        <w:tc>
          <w:tcPr>
            <w:tcW w:type="dxa" w:w="3139"/>
          </w:tcPr>
          <w:p>
            <w:r/>
            <w:r>
              <w:rPr>
                <w:sz w:val="18"/>
              </w:rPr>
              <w:t>Four States unchanged</w:t>
            </w:r>
          </w:p>
        </w:tc>
        <w:tc>
          <w:tcPr>
            <w:tcW w:type="dxa" w:w="893"/>
            <w:shd w:val="clear" w:fill="D9EAD3"/>
          </w:tcPr>
          <w:p>
            <w:r/>
            <w:r>
              <w:rPr>
                <w:b/>
                <w:color w:val="1A7A1A"/>
                <w:sz w:val="18"/>
              </w:rPr>
              <w:t>PASS</w:t>
            </w:r>
          </w:p>
        </w:tc>
        <w:tc>
          <w:tcPr>
            <w:tcW w:type="dxa" w:w="5587"/>
          </w:tcPr>
          <w:p>
            <w:r/>
            <w:r>
              <w:rPr>
                <w:sz w:val="17"/>
              </w:rPr>
              <w:t>Slide 14 and worksheet page 7, with the v5.3.1 descriptions.</w:t>
            </w:r>
          </w:p>
        </w:tc>
      </w:tr>
      <w:tr>
        <w:tc>
          <w:tcPr>
            <w:tcW w:type="dxa" w:w="461"/>
          </w:tcPr>
          <w:p>
            <w:r/>
            <w:r>
              <w:rPr>
                <w:sz w:val="18"/>
              </w:rPr>
              <w:t>54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deck slide 27 and worksheet page 8.</w:t>
            </w:r>
          </w:p>
        </w:tc>
      </w:tr>
      <w:tr>
        <w:tc>
          <w:tcPr>
            <w:tcW w:type="dxa" w:w="461"/>
          </w:tcPr>
          <w:p>
            <w:r/>
            <w:r>
              <w:rPr>
                <w:sz w:val="18"/>
              </w:rPr>
              <w:t>55</w:t>
            </w:r>
          </w:p>
        </w:tc>
        <w:tc>
          <w:tcPr>
            <w:tcW w:type="dxa" w:w="3139"/>
          </w:tcPr>
          <w:p>
            <w:r/>
            <w:r>
              <w:rPr>
                <w:sz w:val="18"/>
              </w:rPr>
              <w:t>No square prescribes a category</w:t>
            </w:r>
          </w:p>
        </w:tc>
        <w:tc>
          <w:tcPr>
            <w:tcW w:type="dxa" w:w="893"/>
            <w:shd w:val="clear" w:fill="D9EAD3"/>
          </w:tcPr>
          <w:p>
            <w:r/>
            <w:r>
              <w:rPr>
                <w:b/>
                <w:color w:val="1A7A1A"/>
                <w:sz w:val="18"/>
              </w:rPr>
              <w:t>PASS</w:t>
            </w:r>
          </w:p>
        </w:tc>
        <w:tc>
          <w:tcPr>
            <w:tcW w:type="dxa" w:w="5587"/>
          </w:tcPr>
          <w:p>
            <w:r/>
            <w:r>
              <w:rPr>
                <w:sz w:val="17"/>
              </w:rPr>
              <w:t>Present on both, verbatim.</w:t>
            </w:r>
          </w:p>
        </w:tc>
      </w:tr>
      <w:tr>
        <w:tc>
          <w:tcPr>
            <w:tcW w:type="dxa" w:w="461"/>
          </w:tcPr>
          <w:p>
            <w:r/>
            <w:r>
              <w:rPr>
                <w:sz w:val="18"/>
              </w:rPr>
              <w:t>56</w:t>
            </w:r>
          </w:p>
        </w:tc>
        <w:tc>
          <w:tcPr>
            <w:tcW w:type="dxa" w:w="3139"/>
          </w:tcPr>
          <w:p>
            <w:r/>
            <w:r>
              <w:rPr>
                <w:sz w:val="18"/>
              </w:rPr>
              <w:t>Slide 25 does not claim nothing is collected</w:t>
            </w:r>
          </w:p>
        </w:tc>
        <w:tc>
          <w:tcPr>
            <w:tcW w:type="dxa" w:w="893"/>
            <w:shd w:val="clear" w:fill="D9EAD3"/>
          </w:tcPr>
          <w:p>
            <w:r/>
            <w:r>
              <w:rPr>
                <w:b/>
                <w:color w:val="1A7A1A"/>
                <w:sz w:val="18"/>
              </w:rPr>
              <w:t>PASS</w:t>
            </w:r>
          </w:p>
        </w:tc>
        <w:tc>
          <w:tcPr>
            <w:tcW w:type="dxa" w:w="5587"/>
          </w:tcPr>
          <w:p>
            <w:r/>
            <w:r>
              <w:rPr>
                <w:sz w:val="17"/>
              </w:rPr>
              <w:t>The inaccurate sentence stays gone; the four options and the no-singleton rule are unchanged.</w:t>
            </w:r>
          </w:p>
        </w:tc>
      </w:tr>
      <w:tr>
        <w:tc>
          <w:tcPr>
            <w:tcW w:type="dxa" w:w="461"/>
          </w:tcPr>
          <w:p>
            <w:r/>
            <w:r>
              <w:rPr>
                <w:sz w:val="18"/>
              </w:rPr>
              <w:t>57</w:t>
            </w:r>
          </w:p>
        </w:tc>
        <w:tc>
          <w:tcPr>
            <w:tcW w:type="dxa" w:w="3139"/>
          </w:tcPr>
          <w:p>
            <w:r/>
            <w:r>
              <w:rPr>
                <w:sz w:val="18"/>
              </w:rPr>
              <w:t>Architecture still retains $150 and the $500 private route</w:t>
            </w:r>
          </w:p>
        </w:tc>
        <w:tc>
          <w:tcPr>
            <w:tcW w:type="dxa" w:w="893"/>
            <w:shd w:val="clear" w:fill="D9EAD3"/>
          </w:tcPr>
          <w:p>
            <w:r/>
            <w:r>
              <w:rPr>
                <w:b/>
                <w:color w:val="1A7A1A"/>
                <w:sz w:val="18"/>
              </w:rPr>
              <w:t>PASS</w:t>
            </w:r>
          </w:p>
        </w:tc>
        <w:tc>
          <w:tcPr>
            <w:tcW w:type="dxa" w:w="5587"/>
          </w:tcPr>
          <w:p>
            <w:r/>
            <w:r>
              <w:rPr>
                <w:sz w:val="17"/>
              </w:rPr>
              <w:t>Internal pricing preserved in the approved architecture, which was not edited.</w:t>
            </w:r>
          </w:p>
        </w:tc>
      </w:tr>
      <w:tr>
        <w:tc>
          <w:tcPr>
            <w:tcW w:type="dxa" w:w="461"/>
          </w:tcPr>
          <w:p>
            <w:r/>
            <w:r>
              <w:rPr>
                <w:sz w:val="18"/>
              </w:rPr>
              <w:t>58</w:t>
            </w:r>
          </w:p>
        </w:tc>
        <w:tc>
          <w:tcPr>
            <w:tcW w:type="dxa" w:w="3139"/>
          </w:tcPr>
          <w:p>
            <w:r/>
            <w:r>
              <w:rPr>
                <w:sz w:val="18"/>
              </w:rPr>
              <w:t>Replay may be registration-gated</w:t>
            </w:r>
          </w:p>
        </w:tc>
        <w:tc>
          <w:tcPr>
            <w:tcW w:type="dxa" w:w="893"/>
            <w:shd w:val="clear" w:fill="D9EAD3"/>
          </w:tcPr>
          <w:p>
            <w:r/>
            <w:r>
              <w:rPr>
                <w:b/>
                <w:color w:val="1A7A1A"/>
                <w:sz w:val="18"/>
              </w:rPr>
              <w:t>PASS</w:t>
            </w:r>
          </w:p>
        </w:tc>
        <w:tc>
          <w:tcPr>
            <w:tcW w:type="dxa" w:w="5587"/>
          </w:tcPr>
          <w:p>
            <w:r/>
            <w:r>
              <w:rPr>
                <w:sz w:val="17"/>
              </w:rPr>
              <w:t>SOP Section 12: the initial preferred model; public distribution a later choice.</w:t>
            </w:r>
          </w:p>
        </w:tc>
      </w:tr>
      <w:tr>
        <w:tc>
          <w:tcPr>
            <w:tcW w:type="dxa" w:w="461"/>
          </w:tcPr>
          <w:p>
            <w:r/>
            <w:r>
              <w:rPr>
                <w:sz w:val="18"/>
              </w:rPr>
              <w:t>59</w:t>
            </w:r>
          </w:p>
        </w:tc>
        <w:tc>
          <w:tcPr>
            <w:tcW w:type="dxa" w:w="3139"/>
          </w:tcPr>
          <w:p>
            <w:r/>
            <w:r>
              <w:rPr>
                <w:sz w:val="18"/>
              </w:rPr>
              <w:t>Participant Q&amp;A excluded from the replay</w:t>
            </w:r>
          </w:p>
        </w:tc>
        <w:tc>
          <w:tcPr>
            <w:tcW w:type="dxa" w:w="893"/>
            <w:shd w:val="clear" w:fill="D9EAD3"/>
          </w:tcPr>
          <w:p>
            <w:r/>
            <w:r>
              <w:rPr>
                <w:b/>
                <w:color w:val="1A7A1A"/>
                <w:sz w:val="18"/>
              </w:rPr>
              <w:t>PASS</w:t>
            </w:r>
          </w:p>
        </w:tc>
        <w:tc>
          <w:tcPr>
            <w:tcW w:type="dxa" w:w="5587"/>
          </w:tcPr>
          <w:p>
            <w:r/>
            <w:r>
              <w:rPr>
                <w:sz w:val="17"/>
              </w:rPr>
              <w:t>Stated under every distribution model as a rule that does not vary.</w:t>
            </w:r>
          </w:p>
        </w:tc>
      </w:tr>
      <w:tr>
        <w:tc>
          <w:tcPr>
            <w:tcW w:type="dxa" w:w="461"/>
          </w:tcPr>
          <w:p>
            <w:r/>
            <w:r>
              <w:rPr>
                <w:sz w:val="18"/>
              </w:rPr>
              <w:t>60</w:t>
            </w:r>
          </w:p>
        </w:tc>
        <w:tc>
          <w:tcPr>
            <w:tcW w:type="dxa" w:w="3139"/>
          </w:tcPr>
          <w:p>
            <w:r/>
            <w:r>
              <w:rPr>
                <w:sz w:val="18"/>
              </w:rPr>
              <w:t>Participant microphones default muted while recording</w:t>
            </w:r>
          </w:p>
        </w:tc>
        <w:tc>
          <w:tcPr>
            <w:tcW w:type="dxa" w:w="893"/>
            <w:shd w:val="clear" w:fill="D9EAD3"/>
          </w:tcPr>
          <w:p>
            <w:r/>
            <w:r>
              <w:rPr>
                <w:b/>
                <w:color w:val="1A7A1A"/>
                <w:sz w:val="18"/>
              </w:rPr>
              <w:t>PASS</w:t>
            </w:r>
          </w:p>
        </w:tc>
        <w:tc>
          <w:tcPr>
            <w:tcW w:type="dxa" w:w="5587"/>
          </w:tcPr>
          <w:p>
            <w:r/>
            <w:r>
              <w:rPr>
                <w:sz w:val="17"/>
              </w:rPr>
              <w:t>SOP Section 6, with the chat, unmute and personal-question handling.</w:t>
            </w:r>
          </w:p>
        </w:tc>
      </w:tr>
      <w:tr>
        <w:tc>
          <w:tcPr>
            <w:tcW w:type="dxa" w:w="461"/>
          </w:tcPr>
          <w:p>
            <w:r/>
            <w:r>
              <w:rPr>
                <w:sz w:val="18"/>
              </w:rPr>
              <w:t>61</w:t>
            </w:r>
          </w:p>
        </w:tc>
        <w:tc>
          <w:tcPr>
            <w:tcW w:type="dxa" w:w="3139"/>
          </w:tcPr>
          <w:p>
            <w:r/>
            <w:r>
              <w:rPr>
                <w:sz w:val="18"/>
              </w:rPr>
              <w:t>Worksheet contains the exact statements</w:t>
            </w:r>
          </w:p>
        </w:tc>
        <w:tc>
          <w:tcPr>
            <w:tcW w:type="dxa" w:w="893"/>
            <w:shd w:val="clear" w:fill="D9EAD3"/>
          </w:tcPr>
          <w:p>
            <w:r/>
            <w:r>
              <w:rPr>
                <w:b/>
                <w:color w:val="1A7A1A"/>
                <w:sz w:val="18"/>
              </w:rPr>
              <w:t>PASS</w:t>
            </w:r>
          </w:p>
        </w:tc>
        <w:tc>
          <w:tcPr>
            <w:tcW w:type="dxa" w:w="5587"/>
          </w:tcPr>
          <w:p>
            <w:r/>
            <w:r>
              <w:rPr>
                <w:sz w:val="17"/>
              </w:rPr>
              <w:t>Twelve of twelve, twice each — initial read and evidence-backed read.</w:t>
            </w:r>
          </w:p>
        </w:tc>
      </w:tr>
      <w:tr>
        <w:tc>
          <w:tcPr>
            <w:tcW w:type="dxa" w:w="461"/>
          </w:tcPr>
          <w:p>
            <w:r/>
            <w:r>
              <w:rPr>
                <w:sz w:val="18"/>
              </w:rPr>
              <w:t>62</w:t>
            </w:r>
          </w:p>
        </w:tc>
        <w:tc>
          <w:tcPr>
            <w:tcW w:type="dxa" w:w="3139"/>
          </w:tcPr>
          <w:p>
            <w:r/>
            <w:r>
              <w:rPr>
                <w:sz w:val="18"/>
              </w:rPr>
              <w:t>Worksheet initial read contains no evidence lines</w:t>
            </w:r>
          </w:p>
        </w:tc>
        <w:tc>
          <w:tcPr>
            <w:tcW w:type="dxa" w:w="893"/>
            <w:shd w:val="clear" w:fill="D9EAD3"/>
          </w:tcPr>
          <w:p>
            <w:r/>
            <w:r>
              <w:rPr>
                <w:b/>
                <w:color w:val="1A7A1A"/>
                <w:sz w:val="18"/>
              </w:rPr>
              <w:t>PASS</w:t>
            </w:r>
          </w:p>
        </w:tc>
        <w:tc>
          <w:tcPr>
            <w:tcW w:type="dxa" w:w="5587"/>
          </w:tcPr>
          <w:p>
            <w:r/>
            <w:r>
              <w:rPr>
                <w:sz w:val="17"/>
              </w:rPr>
              <w:t>Pages 2 and 3 carry score fields only.</w:t>
            </w:r>
          </w:p>
        </w:tc>
      </w:tr>
      <w:tr>
        <w:tc>
          <w:tcPr>
            <w:tcW w:type="dxa" w:w="461"/>
          </w:tcPr>
          <w:p>
            <w:r/>
            <w:r>
              <w:rPr>
                <w:sz w:val="18"/>
              </w:rPr>
              <w:t>63</w:t>
            </w:r>
          </w:p>
        </w:tc>
        <w:tc>
          <w:tcPr>
            <w:tcW w:type="dxa" w:w="3139"/>
          </w:tcPr>
          <w:p>
            <w:r/>
            <w:r>
              <w:rPr>
                <w:sz w:val="18"/>
              </w:rPr>
              <w:t>Worksheet second read contains evidence phrases</w:t>
            </w:r>
          </w:p>
        </w:tc>
        <w:tc>
          <w:tcPr>
            <w:tcW w:type="dxa" w:w="893"/>
            <w:shd w:val="clear" w:fill="D9EAD3"/>
          </w:tcPr>
          <w:p>
            <w:r/>
            <w:r>
              <w:rPr>
                <w:b/>
                <w:color w:val="1A7A1A"/>
                <w:sz w:val="18"/>
              </w:rPr>
              <w:t>PASS</w:t>
            </w:r>
          </w:p>
        </w:tc>
        <w:tc>
          <w:tcPr>
            <w:tcW w:type="dxa" w:w="5587"/>
          </w:tcPr>
          <w:p>
            <w:r/>
            <w:r>
              <w:rPr>
                <w:sz w:val="17"/>
              </w:rPr>
              <w:t>Twelve evidence fields, one per statement.</w:t>
            </w:r>
          </w:p>
        </w:tc>
      </w:tr>
      <w:tr>
        <w:tc>
          <w:tcPr>
            <w:tcW w:type="dxa" w:w="461"/>
          </w:tcPr>
          <w:p>
            <w:r/>
            <w:r>
              <w:rPr>
                <w:sz w:val="18"/>
              </w:rPr>
              <w:t>64</w:t>
            </w:r>
          </w:p>
        </w:tc>
        <w:tc>
          <w:tcPr>
            <w:tcW w:type="dxa" w:w="3139"/>
          </w:tcPr>
          <w:p>
            <w:r/>
            <w:r>
              <w:rPr>
                <w:sz w:val="18"/>
              </w:rPr>
              <w:t>Worksheet contains the sensitivity procedure</w:t>
            </w:r>
          </w:p>
        </w:tc>
        <w:tc>
          <w:tcPr>
            <w:tcW w:type="dxa" w:w="893"/>
            <w:shd w:val="clear" w:fill="D9EAD3"/>
          </w:tcPr>
          <w:p>
            <w:r/>
            <w:r>
              <w:rPr>
                <w:b/>
                <w:color w:val="1A7A1A"/>
                <w:sz w:val="18"/>
              </w:rPr>
              <w:t>PASS</w:t>
            </w:r>
          </w:p>
        </w:tc>
        <w:tc>
          <w:tcPr>
            <w:tcW w:type="dxa" w:w="5587"/>
          </w:tcPr>
          <w:p>
            <w:r/>
            <w:r>
              <w:rPr>
                <w:sz w:val="17"/>
              </w:rPr>
              <w:t>Page 4 teaches it; page 7 provides both axes at all three values.</w:t>
            </w:r>
          </w:p>
        </w:tc>
      </w:tr>
      <w:tr>
        <w:tc>
          <w:tcPr>
            <w:tcW w:type="dxa" w:w="461"/>
          </w:tcPr>
          <w:p>
            <w:r/>
            <w:r>
              <w:rPr>
                <w:sz w:val="18"/>
              </w:rPr>
              <w:t>65</w:t>
            </w:r>
          </w:p>
        </w:tc>
        <w:tc>
          <w:tcPr>
            <w:tcW w:type="dxa" w:w="3139"/>
          </w:tcPr>
          <w:p>
            <w:r/>
            <w:r>
              <w:rPr>
                <w:sz w:val="18"/>
              </w:rPr>
              <w:t>Worksheet says Next-Move Note, not Next-Move Decision</w:t>
            </w:r>
          </w:p>
        </w:tc>
        <w:tc>
          <w:tcPr>
            <w:tcW w:type="dxa" w:w="893"/>
            <w:shd w:val="clear" w:fill="D9EAD3"/>
          </w:tcPr>
          <w:p>
            <w:r/>
            <w:r>
              <w:rPr>
                <w:b/>
                <w:color w:val="1A7A1A"/>
                <w:sz w:val="18"/>
              </w:rPr>
              <w:t>PASS</w:t>
            </w:r>
          </w:p>
        </w:tc>
        <w:tc>
          <w:tcPr>
            <w:tcW w:type="dxa" w:w="5587"/>
          </w:tcPr>
          <w:p>
            <w:r/>
            <w:r>
              <w:rPr>
                <w:sz w:val="17"/>
              </w:rPr>
              <w:t>The Intensive Edition's term appears nowhere in the worksheet.</w:t>
            </w:r>
          </w:p>
        </w:tc>
      </w:tr>
      <w:tr>
        <w:tc>
          <w:tcPr>
            <w:tcW w:type="dxa" w:w="461"/>
          </w:tcPr>
          <w:p>
            <w:r/>
            <w:r>
              <w:rPr>
                <w:sz w:val="18"/>
              </w:rPr>
              <w:t>66</w:t>
            </w:r>
          </w:p>
        </w:tc>
        <w:tc>
          <w:tcPr>
            <w:tcW w:type="dxa" w:w="3139"/>
          </w:tcPr>
          <w:p>
            <w:r/>
            <w:r>
              <w:rPr>
                <w:sz w:val="18"/>
              </w:rPr>
              <w:t>Worksheet contains no sales CTA</w:t>
            </w:r>
          </w:p>
        </w:tc>
        <w:tc>
          <w:tcPr>
            <w:tcW w:type="dxa" w:w="893"/>
            <w:shd w:val="clear" w:fill="D9EAD3"/>
          </w:tcPr>
          <w:p>
            <w:r/>
            <w:r>
              <w:rPr>
                <w:b/>
                <w:color w:val="1A7A1A"/>
                <w:sz w:val="18"/>
              </w:rPr>
              <w:t>PASS</w:t>
            </w:r>
          </w:p>
        </w:tc>
        <w:tc>
          <w:tcPr>
            <w:tcW w:type="dxa" w:w="5587"/>
          </w:tcPr>
          <w:p>
            <w:r/>
            <w:r>
              <w:rPr>
                <w:sz w:val="17"/>
              </w:rPr>
              <w:t>No price, product name, link or enquiry in the eight pages.</w:t>
            </w:r>
          </w:p>
        </w:tc>
      </w:tr>
      <w:tr>
        <w:tc>
          <w:tcPr>
            <w:tcW w:type="dxa" w:w="461"/>
          </w:tcPr>
          <w:p>
            <w:r/>
            <w:r>
              <w:rPr>
                <w:sz w:val="18"/>
              </w:rPr>
              <w:t>67</w:t>
            </w:r>
          </w:p>
        </w:tc>
        <w:tc>
          <w:tcPr>
            <w:tcW w:type="dxa" w:w="3139"/>
          </w:tcPr>
          <w:p>
            <w:r/>
            <w:r>
              <w:rPr>
                <w:sz w:val="18"/>
              </w:rPr>
              <w:t>No retired paid-workshop fulfillment code</w:t>
            </w:r>
          </w:p>
        </w:tc>
        <w:tc>
          <w:tcPr>
            <w:tcW w:type="dxa" w:w="893"/>
            <w:shd w:val="clear" w:fill="D9EAD3"/>
          </w:tcPr>
          <w:p>
            <w:r/>
            <w:r>
              <w:rPr>
                <w:b/>
                <w:color w:val="1A7A1A"/>
                <w:sz w:val="18"/>
              </w:rPr>
              <w:t>PASS</w:t>
            </w:r>
          </w:p>
        </w:tc>
        <w:tc>
          <w:tcPr>
            <w:tcW w:type="dxa" w:w="5587"/>
          </w:tcPr>
          <w:p>
            <w:r/>
            <w:r>
              <w:rPr>
                <w:sz w:val="17"/>
              </w:rPr>
              <w:t>Absent from all five artifacts.</w:t>
            </w:r>
          </w:p>
        </w:tc>
      </w:tr>
      <w:tr>
        <w:tc>
          <w:tcPr>
            <w:tcW w:type="dxa" w:w="461"/>
          </w:tcPr>
          <w:p>
            <w:r/>
            <w:r>
              <w:rPr>
                <w:sz w:val="18"/>
              </w:rPr>
              <w:t>68</w:t>
            </w:r>
          </w:p>
        </w:tc>
        <w:tc>
          <w:tcPr>
            <w:tcW w:type="dxa" w:w="3139"/>
          </w:tcPr>
          <w:p>
            <w:r/>
            <w:r>
              <w:rPr>
                <w:sz w:val="18"/>
              </w:rPr>
              <w:t>No 12-person cap</w:t>
            </w:r>
          </w:p>
        </w:tc>
        <w:tc>
          <w:tcPr>
            <w:tcW w:type="dxa" w:w="893"/>
            <w:shd w:val="clear" w:fill="D9EAD3"/>
          </w:tcPr>
          <w:p>
            <w:r/>
            <w:r>
              <w:rPr>
                <w:b/>
                <w:color w:val="1A7A1A"/>
                <w:sz w:val="18"/>
              </w:rPr>
              <w:t>PASS</w:t>
            </w:r>
          </w:p>
        </w:tc>
        <w:tc>
          <w:tcPr>
            <w:tcW w:type="dxa" w:w="5587"/>
          </w:tcPr>
          <w:p>
            <w:r/>
            <w:r>
              <w:rPr>
                <w:sz w:val="17"/>
              </w:rPr>
              <w:t>Only occurrence anywhere is the SOP's own prohibition list.</w:t>
            </w:r>
          </w:p>
        </w:tc>
      </w:tr>
      <w:tr>
        <w:tc>
          <w:tcPr>
            <w:tcW w:type="dxa" w:w="461"/>
          </w:tcPr>
          <w:p>
            <w:r/>
            <w:r>
              <w:rPr>
                <w:sz w:val="18"/>
              </w:rPr>
              <w:t>69</w:t>
            </w:r>
          </w:p>
        </w:tc>
        <w:tc>
          <w:tcPr>
            <w:tcW w:type="dxa" w:w="3139"/>
          </w:tcPr>
          <w:p>
            <w:r/>
            <w:r>
              <w:rPr>
                <w:sz w:val="18"/>
              </w:rPr>
              <w:t>September 16, 2026 is a Wednesday and is stated that way</w:t>
            </w:r>
          </w:p>
        </w:tc>
        <w:tc>
          <w:tcPr>
            <w:tcW w:type="dxa" w:w="893"/>
            <w:shd w:val="clear" w:fill="D9EAD3"/>
          </w:tcPr>
          <w:p>
            <w:r/>
            <w:r>
              <w:rPr>
                <w:b/>
                <w:color w:val="1A7A1A"/>
                <w:sz w:val="18"/>
              </w:rPr>
              <w:t>PASS</w:t>
            </w:r>
          </w:p>
        </w:tc>
        <w:tc>
          <w:tcPr>
            <w:tcW w:type="dxa" w:w="5587"/>
          </w:tcPr>
          <w:p>
            <w:r/>
            <w:r>
              <w:rPr>
                <w:sz w:val="17"/>
              </w:rPr>
              <w:t>16 September 2026 is a Wednesday. On the hidden holding slide and in the SOP schedule.</w:t>
            </w:r>
          </w:p>
        </w:tc>
      </w:tr>
      <w:tr>
        <w:tc>
          <w:tcPr>
            <w:tcW w:type="dxa" w:w="461"/>
          </w:tcPr>
          <w:p>
            <w:r/>
            <w:r>
              <w:rPr>
                <w:sz w:val="18"/>
              </w:rPr>
              <w:t>70</w:t>
            </w:r>
          </w:p>
        </w:tc>
        <w:tc>
          <w:tcPr>
            <w:tcW w:type="dxa" w:w="3139"/>
          </w:tcPr>
          <w:p>
            <w:r/>
            <w:r>
              <w:rPr>
                <w:sz w:val="18"/>
              </w:rPr>
              <w:t>Live time is 6:00–7:30 PM CT</w:t>
            </w:r>
          </w:p>
        </w:tc>
        <w:tc>
          <w:tcPr>
            <w:tcW w:type="dxa" w:w="893"/>
            <w:shd w:val="clear" w:fill="D9EAD3"/>
          </w:tcPr>
          <w:p>
            <w:r/>
            <w:r>
              <w:rPr>
                <w:b/>
                <w:color w:val="1A7A1A"/>
                <w:sz w:val="18"/>
              </w:rPr>
              <w:t>PASS</w:t>
            </w:r>
          </w:p>
        </w:tc>
        <w:tc>
          <w:tcPr>
            <w:tcW w:type="dxa" w:w="5587"/>
          </w:tcPr>
          <w:p>
            <w:r/>
            <w:r>
              <w:rPr>
                <w:sz w:val="17"/>
              </w:rPr>
              <w:t>Ninety minutes, Central Time throughout. The single CST is the SOP's own instruction.</w:t>
            </w:r>
          </w:p>
        </w:tc>
      </w:tr>
      <w:tr>
        <w:tc>
          <w:tcPr>
            <w:tcW w:type="dxa" w:w="461"/>
          </w:tcPr>
          <w:p>
            <w:r/>
            <w:r>
              <w:rPr>
                <w:sz w:val="18"/>
              </w:rPr>
              <w:t>71</w:t>
            </w:r>
          </w:p>
        </w:tc>
        <w:tc>
          <w:tcPr>
            <w:tcW w:type="dxa" w:w="3139"/>
          </w:tcPr>
          <w:p>
            <w:r/>
            <w:r>
              <w:rPr>
                <w:sz w:val="18"/>
              </w:rPr>
              <w:t>Deck remains 90 minutes</w:t>
            </w:r>
          </w:p>
        </w:tc>
        <w:tc>
          <w:tcPr>
            <w:tcW w:type="dxa" w:w="893"/>
            <w:shd w:val="clear" w:fill="D9EAD3"/>
          </w:tcPr>
          <w:p>
            <w:r/>
            <w:r>
              <w:rPr>
                <w:b/>
                <w:color w:val="1A7A1A"/>
                <w:sz w:val="18"/>
              </w:rPr>
              <w:t>PASS</w:t>
            </w:r>
          </w:p>
        </w:tc>
        <w:tc>
          <w:tcPr>
            <w:tcW w:type="dxa" w:w="5587"/>
          </w:tcPr>
          <w:p>
            <w:r/>
            <w:r>
              <w:rPr>
                <w:sz w:val="17"/>
              </w:rPr>
              <w:t>Title slide says 90 MINUTES; the timing notes run 0:00 to 90:00 with no gap.</w:t>
            </w:r>
          </w:p>
        </w:tc>
      </w:tr>
      <w:tr>
        <w:tc>
          <w:tcPr>
            <w:tcW w:type="dxa" w:w="461"/>
          </w:tcPr>
          <w:p>
            <w:r/>
            <w:r>
              <w:rPr>
                <w:sz w:val="18"/>
              </w:rPr>
              <w:t>72</w:t>
            </w:r>
          </w:p>
        </w:tc>
        <w:tc>
          <w:tcPr>
            <w:tcW w:type="dxa" w:w="3139"/>
          </w:tcPr>
          <w:p>
            <w:r/>
            <w:r>
              <w:rPr>
                <w:sz w:val="18"/>
              </w:rPr>
              <w:t>Recorded core remains 0–75</w:t>
            </w:r>
          </w:p>
        </w:tc>
        <w:tc>
          <w:tcPr>
            <w:tcW w:type="dxa" w:w="893"/>
            <w:shd w:val="clear" w:fill="D9EAD3"/>
          </w:tcPr>
          <w:p>
            <w:r/>
            <w:r>
              <w:rPr>
                <w:b/>
                <w:color w:val="1A7A1A"/>
                <w:sz w:val="18"/>
              </w:rPr>
              <w:t>PASS</w:t>
            </w:r>
          </w:p>
        </w:tc>
        <w:tc>
          <w:tcPr>
            <w:tcW w:type="dxa" w:w="5587"/>
          </w:tcPr>
          <w:p>
            <w:r/>
            <w:r>
              <w:rPr>
                <w:sz w:val="17"/>
              </w:rPr>
              <w:t>Slide 32 is the last recorded slide and carries the stop instruction.</w:t>
            </w:r>
          </w:p>
        </w:tc>
      </w:tr>
      <w:tr>
        <w:tc>
          <w:tcPr>
            <w:tcW w:type="dxa" w:w="461"/>
          </w:tcPr>
          <w:p>
            <w:r/>
            <w:r>
              <w:rPr>
                <w:sz w:val="18"/>
              </w:rPr>
              <w:t>73</w:t>
            </w:r>
          </w:p>
        </w:tc>
        <w:tc>
          <w:tcPr>
            <w:tcW w:type="dxa" w:w="3139"/>
          </w:tcPr>
          <w:p>
            <w:r/>
            <w:r>
              <w:rPr>
                <w:sz w:val="18"/>
              </w:rPr>
              <w:t>Q&amp;A remains 75–90 and live only</w:t>
            </w:r>
          </w:p>
        </w:tc>
        <w:tc>
          <w:tcPr>
            <w:tcW w:type="dxa" w:w="893"/>
            <w:shd w:val="clear" w:fill="D9EAD3"/>
          </w:tcPr>
          <w:p>
            <w:r/>
            <w:r>
              <w:rPr>
                <w:b/>
                <w:color w:val="1A7A1A"/>
                <w:sz w:val="18"/>
              </w:rPr>
              <w:t>PASS</w:t>
            </w:r>
          </w:p>
        </w:tc>
        <w:tc>
          <w:tcPr>
            <w:tcW w:type="dxa" w:w="5587"/>
          </w:tcPr>
          <w:p>
            <w:r/>
            <w:r>
              <w:rPr>
                <w:sz w:val="17"/>
              </w:rPr>
              <w:t>Slide 33, marked LIVE ONLY · NOT IN THE EVERGREEN REPLAY.</w:t>
            </w:r>
          </w:p>
        </w:tc>
      </w:tr>
      <w:tr>
        <w:tc>
          <w:tcPr>
            <w:tcW w:type="dxa" w:w="461"/>
          </w:tcPr>
          <w:p>
            <w:r/>
            <w:r>
              <w:rPr>
                <w:sz w:val="18"/>
              </w:rPr>
              <w:t>74</w:t>
            </w:r>
          </w:p>
        </w:tc>
        <w:tc>
          <w:tcPr>
            <w:tcW w:type="dxa" w:w="3139"/>
          </w:tcPr>
          <w:p>
            <w:r/>
            <w:r>
              <w:rPr>
                <w:sz w:val="18"/>
              </w:rPr>
              <w:t>Core deck is evergreen</w:t>
            </w:r>
          </w:p>
        </w:tc>
        <w:tc>
          <w:tcPr>
            <w:tcW w:type="dxa" w:w="893"/>
            <w:shd w:val="clear" w:fill="D9EAD3"/>
          </w:tcPr>
          <w:p>
            <w:r/>
            <w:r>
              <w:rPr>
                <w:b/>
                <w:color w:val="1A7A1A"/>
                <w:sz w:val="18"/>
              </w:rPr>
              <w:t>PASS</w:t>
            </w:r>
          </w:p>
        </w:tc>
        <w:tc>
          <w:tcPr>
            <w:tcW w:type="dxa" w:w="5587"/>
          </w:tcPr>
          <w:p>
            <w:r/>
            <w:r>
              <w:rPr>
                <w:sz w:val="17"/>
              </w:rPr>
              <w:t>No date appears on any of the 33 live slide faces. September 16 survives only on the hidden pre-session holding slide and in one speaker note.</w:t>
            </w:r>
          </w:p>
        </w:tc>
      </w:tr>
      <w:tr>
        <w:tc>
          <w:tcPr>
            <w:tcW w:type="dxa" w:w="461"/>
          </w:tcPr>
          <w:p>
            <w:r/>
            <w:r>
              <w:rPr>
                <w:sz w:val="18"/>
              </w:rPr>
              <w:t>75</w:t>
            </w:r>
          </w:p>
        </w:tc>
        <w:tc>
          <w:tcPr>
            <w:tcW w:type="dxa" w:w="3139"/>
          </w:tcPr>
          <w:p>
            <w:r/>
            <w:r>
              <w:rPr>
                <w:sz w:val="18"/>
              </w:rPr>
              <w:t>Deck structure is as designed</w:t>
            </w:r>
          </w:p>
        </w:tc>
        <w:tc>
          <w:tcPr>
            <w:tcW w:type="dxa" w:w="893"/>
            <w:shd w:val="clear" w:fill="D9EAD3"/>
          </w:tcPr>
          <w:p>
            <w:r/>
            <w:r>
              <w:rPr>
                <w:b/>
                <w:color w:val="1A7A1A"/>
                <w:sz w:val="18"/>
              </w:rPr>
              <w:t>PASS</w:t>
            </w:r>
          </w:p>
        </w:tc>
        <w:tc>
          <w:tcPr>
            <w:tcW w:type="dxa" w:w="5587"/>
          </w:tcPr>
          <w:p>
            <w:r/>
            <w:r>
              <w:rPr>
                <w:sz w:val="17"/>
              </w:rPr>
              <w:t>33 live + 6 hidden = 39. The appendix, the institutional close and the dated holding slide all kept their hidden state through the renumbering.</w:t>
            </w:r>
          </w:p>
        </w:tc>
      </w:tr>
      <w:tr>
        <w:tc>
          <w:tcPr>
            <w:tcW w:type="dxa" w:w="461"/>
          </w:tcPr>
          <w:p>
            <w:r/>
            <w:r>
              <w:rPr>
                <w:sz w:val="18"/>
              </w:rPr>
              <w:t>76</w:t>
            </w:r>
          </w:p>
        </w:tc>
        <w:tc>
          <w:tcPr>
            <w:tcW w:type="dxa" w:w="3139"/>
          </w:tcPr>
          <w:p>
            <w:r/>
            <w:r>
              <w:rPr>
                <w:sz w:val="18"/>
              </w:rPr>
              <w:t>Page-number footers match presentation order</w:t>
            </w:r>
          </w:p>
        </w:tc>
        <w:tc>
          <w:tcPr>
            <w:tcW w:type="dxa" w:w="893"/>
            <w:shd w:val="clear" w:fill="D9EAD3"/>
          </w:tcPr>
          <w:p>
            <w:r/>
            <w:r>
              <w:rPr>
                <w:b/>
                <w:color w:val="1A7A1A"/>
                <w:sz w:val="18"/>
              </w:rPr>
              <w:t>PASS</w:t>
            </w:r>
          </w:p>
        </w:tc>
        <w:tc>
          <w:tcPr>
            <w:tcW w:type="dxa" w:w="5587"/>
          </w:tcPr>
          <w:p>
            <w:r/>
            <w:r>
              <w:rPr>
                <w:sz w:val="17"/>
              </w:rPr>
              <w:t>Slides 29 through 33 carry footers 29 through 33. The two slides displaced by the insertion were renumbered rather than left stale.</w:t>
            </w:r>
          </w:p>
        </w:tc>
      </w:tr>
      <w:tr>
        <w:tc>
          <w:tcPr>
            <w:tcW w:type="dxa" w:w="461"/>
          </w:tcPr>
          <w:p>
            <w:r/>
            <w:r>
              <w:rPr>
                <w:sz w:val="18"/>
              </w:rPr>
              <w:t>77</w:t>
            </w:r>
          </w:p>
        </w:tc>
        <w:tc>
          <w:tcPr>
            <w:tcW w:type="dxa" w:w="3139"/>
          </w:tcPr>
          <w:p>
            <w:r/>
            <w:r>
              <w:rPr>
                <w:sz w:val="18"/>
              </w:rPr>
              <w:t>All documents carry visible Central Time revision timestamps</w:t>
            </w:r>
          </w:p>
        </w:tc>
        <w:tc>
          <w:tcPr>
            <w:tcW w:type="dxa" w:w="893"/>
            <w:shd w:val="clear" w:fill="D9EAD3"/>
          </w:tcPr>
          <w:p>
            <w:r/>
            <w:r>
              <w:rPr>
                <w:b/>
                <w:color w:val="1A7A1A"/>
                <w:sz w:val="18"/>
              </w:rPr>
              <w:t>PASS</w:t>
            </w:r>
          </w:p>
        </w:tc>
        <w:tc>
          <w:tcPr>
            <w:tcW w:type="dxa" w:w="5587"/>
          </w:tcPr>
          <w:p>
            <w:r/>
            <w:r>
              <w:rPr>
                <w:sz w:val="17"/>
              </w:rPr>
              <w:t>Present in the SOP header band and footer line.</w:t>
            </w:r>
          </w:p>
        </w:tc>
      </w:tr>
    </w:tbl>
    <w:p>
      <w:pPr>
        <w:spacing w:after="120"/>
      </w:pPr>
    </w:p>
    <w:p>
      <w:pPr>
        <w:spacing w:before="120" w:after="120"/>
      </w:pPr>
      <w:r>
        <w:rPr>
          <w:color w:val="555555"/>
          <w:sz w:val="16"/>
        </w:rPr>
        <w:t>――――――――――――――――――――――――――――――――――――――――――――――――――――――――――――――――――――――――――――――――――――――――――</w:t>
      </w:r>
    </w:p>
    <w:p>
      <w:pPr>
        <w:spacing w:before="320" w:after="160"/>
      </w:pPr>
      <w:r>
        <w:rPr>
          <w:b/>
          <w:color w:val="0F2347"/>
          <w:sz w:val="32"/>
        </w:rPr>
        <w:t>Overall result</w:t>
      </w:r>
    </w:p>
    <w:p>
      <w:pPr>
        <w:spacing w:after="160"/>
      </w:pPr>
      <w:r>
        <w:rPr>
          <w:b/>
          <w:i w:val="0"/>
          <w:color w:val="0F2347"/>
          <w:sz w:val="21"/>
        </w:rPr>
        <w:t>77 of 77 PASS. All eight reported defects are corrected, the conversion sequence meets all twenty of its verifications, and method integrity is unchanged.</w:t>
      </w:r>
    </w:p>
    <w:p>
      <w:pPr>
        <w:spacing w:after="160"/>
      </w:pPr>
      <w:r>
        <w:rPr>
          <w:b/>
          <w:i w:val="0"/>
          <w:color w:val="B00000"/>
          <w:sz w:val="21"/>
        </w:rPr>
        <w:t>v1.2 REMAINS A CANDIDATE. It is not FINAL and must not be promoted on the strength of this report.</w:t>
      </w:r>
    </w:p>
    <w:p>
      <w:pPr>
        <w:spacing w:before="120" w:after="120"/>
      </w:pPr>
      <w:r>
        <w:rPr>
          <w:color w:val="555555"/>
          <w:sz w:val="16"/>
        </w:rPr>
        <w:t>――――――――――――――――――――――――――――――――――――――――――――――――――――――――――――――――――――――――――――――――――――――――――</w:t>
      </w:r>
    </w:p>
    <w:p>
      <w:pPr>
        <w:spacing w:before="320" w:after="160"/>
      </w:pPr>
      <w:r>
        <w:rPr>
          <w:b/>
          <w:color w:val="0F2347"/>
          <w:sz w:val="32"/>
        </w:rPr>
        <w:t>Visual QA — what was and was not done</w:t>
      </w:r>
    </w:p>
    <w:p>
      <w:pPr>
        <w:spacing w:after="160"/>
      </w:pPr>
      <w:r>
        <w:rPr>
          <w:b/>
          <w:i w:val="0"/>
          <w:color w:val="000000"/>
          <w:sz w:val="20"/>
        </w:rPr>
        <w:t>WORKSHEET — REAL RENDER, PERFORMED.</w:t>
      </w:r>
    </w:p>
    <w:p>
      <w:pPr>
        <w:spacing w:after="160"/>
      </w:pPr>
      <w:r>
        <w:rPr>
          <w:b w:val="0"/>
          <w:i w:val="0"/>
          <w:color w:val="000000"/>
          <w:sz w:val="19"/>
        </w:rPr>
        <w:t>PyMuPDF is available, so the rebuilt worksheet pages were rasterised from the built PDF and inspected. The taller total blocks introduced by the manual-entry hint clear the footer on all four pages that carry them; the build's bottom-margin assertion did not fire.</w:t>
      </w:r>
    </w:p>
    <w:p>
      <w:pPr>
        <w:spacing w:after="160"/>
      </w:pPr>
      <w:r>
        <w:rPr>
          <w:b/>
          <w:i w:val="0"/>
          <w:color w:val="B00000"/>
          <w:sz w:val="20"/>
        </w:rPr>
        <w:t>DECK — NO REAL RENDER. NOT PERFORMED.</w:t>
      </w:r>
    </w:p>
    <w:p>
      <w:pPr>
        <w:spacing w:after="160"/>
      </w:pPr>
      <w:r>
        <w:rPr>
          <w:b w:val="0"/>
          <w:i w:val="0"/>
          <w:color w:val="000000"/>
          <w:sz w:val="19"/>
        </w:rPr>
        <w:t>LibreOffice remains non-functional in this environment, so no slide was rendered. The three new slides were checked with the geometry proxy, which draws each slide from its real shape coordinates, fills and text — positions, sizes, colours, wrapping and z-order are real, glyph shapes are approximate. That is a geometry check, not a PowerPoint render, and it is not being reported as one. It found three real defects, all fixed: the Field Kit closing band was too short for two lines of Cormorant; “We read them together.” wrapped into the paragraph beneath it on slide 31; and slide 31's first column collided with the note line below it.</w:t>
      </w:r>
    </w:p>
    <w:p>
      <w:pPr>
        <w:spacing w:after="160"/>
      </w:pPr>
      <w:r>
        <w:rPr>
          <w:b w:val="0"/>
          <w:i/>
          <w:color w:val="555555"/>
          <w:sz w:val="18"/>
        </w:rPr>
        <w:t>The proxy substitutes wider metric-similar fonts, so it over-estimates line counts. Where a block was close, extra height was added rather than trusting the estimate. The following remain visually unverified and must be checked on first open: all three conversion slides, the two Field Kit page images at their final scale, the navy slide 31 including its light-coloured footer, and the hidden state of slides 34–39 in presenter view.</w:t>
      </w:r>
    </w:p>
    <w:p>
      <w:pPr>
        <w:spacing w:before="120" w:after="120"/>
      </w:pPr>
      <w:r>
        <w:rPr>
          <w:color w:val="555555"/>
          <w:sz w:val="16"/>
        </w:rPr>
        <w:t>――――――――――――――――――――――――――――――――――――――――――――――――――――――――――――――――――――――――――――――――――――――――――</w:t>
      </w:r>
    </w:p>
    <w:p>
      <w:pPr>
        <w:spacing w:before="320" w:after="160"/>
      </w:pPr>
      <w:r>
        <w:rPr>
          <w:b/>
          <w:color w:val="0F2347"/>
          <w:sz w:val="32"/>
        </w:rPr>
        <w:t>What stands between v1.2 CANDIDATE and FINAL</w:t>
      </w:r>
    </w:p>
    <w:p>
      <w:pPr>
        <w:pStyle w:val="ListBullet"/>
        <w:spacing w:after="60"/>
      </w:pPr>
      <w:r>
        <w:rPr>
          <w:color w:val="000000"/>
          <w:sz w:val="19"/>
        </w:rPr>
        <w:t>A visual review of the deck in PowerPoint or Google Slides, with particular attention to slides 29, 30 and 31.</w:t>
      </w:r>
    </w:p>
    <w:p>
      <w:pPr>
        <w:pStyle w:val="ListBullet"/>
        <w:spacing w:after="60"/>
      </w:pPr>
      <w:r>
        <w:rPr>
          <w:color w:val="000000"/>
          <w:sz w:val="19"/>
        </w:rPr>
        <w:t>Two full timed rehearsals recorded on Free_Flagship_Rehearsal_Timing_Sheet_v1.1, confirming both the 30–42 evidence block and the four-minute conversion sequence.</w:t>
      </w:r>
    </w:p>
    <w:p>
      <w:pPr>
        <w:pStyle w:val="ListBullet"/>
        <w:spacing w:after="60"/>
      </w:pPr>
      <w:r>
        <w:rPr>
          <w:color w:val="000000"/>
          <w:sz w:val="19"/>
        </w:rPr>
        <w:t>One pass through the worksheet in Acrobat or Preview, confirming that a bare question mark is refused, that 3? is accepted, and that the totals both calculate and remain typeable.</w:t>
      </w:r>
    </w:p>
    <w:p>
      <w:pPr>
        <w:spacing w:after="160"/>
      </w:pPr>
      <w:r>
        <w:rPr>
          <w:b/>
          <w:i w:val="0"/>
          <w:color w:val="B00000"/>
          <w:sz w:val="19"/>
        </w:rPr>
        <w:t>Until those three are done, nothing in this family is FINAL.</w:t>
      </w:r>
    </w:p>
    <w:p>
      <w:pPr>
        <w:spacing w:before="120" w:after="120"/>
      </w:pPr>
      <w:r>
        <w:rPr>
          <w:color w:val="555555"/>
          <w:sz w:val="16"/>
        </w:rPr>
        <w:t>――――――――――――――――――――――――――――――――――――――――――――――――――――――――――――――――――――――――――――――――――――――――――</w:t>
      </w:r>
    </w:p>
    <w:p>
      <w:pPr>
        <w:spacing w:after="0"/>
      </w:pPr>
      <w:r>
        <w:rPr>
          <w:b w:val="0"/>
          <w:i/>
          <w:color w:val="555555"/>
          <w:sz w:val="16"/>
        </w:rPr>
        <w:t>FREE FLAGSHIP — v1.2 CROSS-ASSET QA REPORT  ·  INTERNAL ONLY  ·  Revised: Friday, August 14, 2026, 12:16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