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0E8"/>
  <w:body>
    <w:p>
      <w:pPr>
        <w:spacing w:after="80" w:before="0" w:line="300" w:lineRule="auto"/>
      </w:pPr>
      <w:r>
        <w:rPr>
          <w:rFonts w:ascii="Arial" w:hAnsi="Arial" w:cs="Arial"/>
          <w:b/>
          <w:i w:val="0"/>
          <w:color w:val="C9A84C"/>
          <w:sz w:val="16"/>
          <w:spacing w:val="40"/>
        </w:rPr>
        <w:t>A FREE LIGHTNING LESSON ARTIFACT</w:t>
      </w:r>
    </w:p>
    <w:p>
      <w:pPr>
        <w:spacing w:after="40" w:before="0" w:line="252" w:lineRule="auto"/>
      </w:pPr>
      <w:r>
        <w:rPr>
          <w:rFonts w:ascii="Georgia" w:hAnsi="Georgia" w:cs="Georgia"/>
          <w:b w:val="0"/>
          <w:i w:val="0"/>
          <w:color w:val="0F2347"/>
          <w:sz w:val="46"/>
        </w:rPr>
        <w:t>The Career Stall Check</w:t>
      </w:r>
    </w:p>
    <w:p>
      <w:pPr>
        <w:spacing w:after="120" w:before="0" w:line="300" w:lineRule="auto"/>
      </w:pPr>
      <w:r>
        <w:rPr>
          <w:rFonts w:ascii="Georgia" w:hAnsi="Georgia" w:cs="Georgia"/>
          <w:b w:val="0"/>
          <w:i/>
          <w:color w:val="4A4A4A"/>
          <w:sz w:val="26"/>
        </w:rPr>
        <w:t>How to Tell If Your Career Is Stalling</w:t>
      </w:r>
    </w:p>
    <w:p>
      <w:pPr>
        <w:pBdr>
          <w:bottom w:val="single" w:sz="6" w:space="1" w:color="C9A84C"/>
        </w:pBdr>
        <w:spacing w:after="80"/>
      </w:pPr>
    </w:p>
    <w:p>
      <w:pPr>
        <w:spacing w:after="160" w:before="0" w:line="300" w:lineRule="auto"/>
      </w:pPr>
      <w:r>
        <w:rPr>
          <w:rFonts w:ascii="Arial" w:hAnsi="Arial" w:cs="Arial"/>
          <w:b w:val="0"/>
          <w:i w:val="0"/>
          <w:color w:val="1A1A1A"/>
          <w:sz w:val="20"/>
        </w:rPr>
        <w:t>Write privately. This is not the full Capability Position Read — no scoring, no state placement, no Next-Move Decision. Four questions, tested against your last 90 days.</w:t>
      </w:r>
    </w:p>
    <w:p>
      <w:pPr>
        <w:spacing w:after="40" w:before="120" w:line="300" w:lineRule="auto"/>
      </w:pPr>
      <w:r>
        <w:rPr>
          <w:rFonts w:ascii="Arial" w:hAnsi="Arial" w:cs="Arial"/>
          <w:b/>
          <w:i w:val="0"/>
          <w:color w:val="C1440E"/>
          <w:sz w:val="26"/>
        </w:rPr>
        <w:t xml:space="preserve">1.  </w:t>
      </w:r>
      <w:r>
        <w:rPr>
          <w:rFonts w:ascii="Georgia" w:hAnsi="Georgia" w:cs="Georgia"/>
          <w:b/>
          <w:i w:val="0"/>
          <w:color w:val="0F2347"/>
          <w:sz w:val="28"/>
        </w:rPr>
        <w:t>Which sign is most present for me?</w:t>
      </w:r>
    </w:p>
    <w:p>
      <w:pPr>
        <w:spacing w:after="60" w:before="0" w:line="300" w:lineRule="auto"/>
      </w:pPr>
      <w:r>
        <w:rPr>
          <w:rFonts w:ascii="Arial" w:hAnsi="Arial" w:cs="Arial"/>
          <w:b w:val="0"/>
          <w:i/>
          <w:color w:val="4A4A4A"/>
          <w:sz w:val="19"/>
        </w:rPr>
        <w:t>Repeating instead of stretching  |  Indispensable but mainly here  |  Responsibility growing faster than capability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FFF"/>
          </w:tcPr>
          <w:p>
            <w:pPr>
              <w:spacing w:after="40"/>
              <w:pBdr>
                <w:bottom w:val="single" w:sz="4" w:space="6" w:color="D9D0BE"/>
              </w:pBdr>
            </w:pPr>
            <w:r/>
            <w:r>
              <w:rPr>
                <w:sz w:val="22"/>
              </w:rPr>
              <w:t xml:space="preserve"> </w:t>
            </w:r>
          </w:p>
          <w:p>
            <w:pPr>
              <w:spacing w:after="40"/>
              <w:pBdr>
                <w:bottom w:val="single" w:sz="4" w:space="6" w:color="D9D0BE"/>
              </w:pBdr>
            </w:pPr>
            <w:r>
              <w:rPr>
                <w:sz w:val="22"/>
              </w:rPr>
              <w:t xml:space="preserve"> </w:t>
            </w:r>
          </w:p>
        </w:tc>
      </w:tr>
    </w:tbl>
    <w:p>
      <w:pPr>
        <w:spacing w:after="40" w:before="120" w:line="300" w:lineRule="auto"/>
      </w:pPr>
      <w:r>
        <w:rPr>
          <w:rFonts w:ascii="Arial" w:hAnsi="Arial" w:cs="Arial"/>
          <w:b/>
          <w:i w:val="0"/>
          <w:color w:val="C1440E"/>
          <w:sz w:val="26"/>
        </w:rPr>
        <w:t xml:space="preserve">2.  </w:t>
      </w:r>
      <w:r>
        <w:rPr>
          <w:rFonts w:ascii="Georgia" w:hAnsi="Georgia" w:cs="Georgia"/>
          <w:b/>
          <w:i w:val="0"/>
          <w:color w:val="0F2347"/>
          <w:sz w:val="28"/>
        </w:rPr>
        <w:t>What is one example from the last 90 days?</w:t>
      </w:r>
    </w:p>
    <w:p>
      <w:pPr>
        <w:spacing w:after="60" w:before="0" w:line="300" w:lineRule="auto"/>
      </w:pPr>
      <w:r>
        <w:rPr>
          <w:rFonts w:ascii="Arial" w:hAnsi="Arial" w:cs="Arial"/>
          <w:b w:val="0"/>
          <w:i/>
          <w:color w:val="4A4A4A"/>
          <w:sz w:val="19"/>
        </w:rPr>
        <w:t>Use a lived example, not a plan, promise, title, or feeling.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FFF"/>
          </w:tcPr>
          <w:p>
            <w:pPr>
              <w:spacing w:after="40"/>
              <w:pBdr>
                <w:bottom w:val="single" w:sz="4" w:space="6" w:color="D9D0BE"/>
              </w:pBdr>
            </w:pPr>
            <w:r/>
            <w:r>
              <w:rPr>
                <w:sz w:val="22"/>
              </w:rPr>
              <w:t xml:space="preserve"> </w:t>
            </w:r>
          </w:p>
          <w:p>
            <w:pPr>
              <w:spacing w:after="40"/>
              <w:pBdr>
                <w:bottom w:val="single" w:sz="4" w:space="6" w:color="D9D0BE"/>
              </w:pBdr>
            </w:pPr>
            <w:r>
              <w:rPr>
                <w:sz w:val="22"/>
              </w:rPr>
              <w:t xml:space="preserve"> </w:t>
            </w:r>
          </w:p>
        </w:tc>
      </w:tr>
    </w:tbl>
    <w:p>
      <w:pPr>
        <w:spacing w:after="40" w:before="120" w:line="300" w:lineRule="auto"/>
      </w:pPr>
      <w:r>
        <w:rPr>
          <w:rFonts w:ascii="Arial" w:hAnsi="Arial" w:cs="Arial"/>
          <w:b/>
          <w:i w:val="0"/>
          <w:color w:val="C1440E"/>
          <w:sz w:val="26"/>
        </w:rPr>
        <w:t xml:space="preserve">3.  </w:t>
      </w:r>
      <w:r>
        <w:rPr>
          <w:rFonts w:ascii="Georgia" w:hAnsi="Georgia" w:cs="Georgia"/>
          <w:b/>
          <w:i w:val="0"/>
          <w:color w:val="0F2347"/>
          <w:sz w:val="28"/>
        </w:rPr>
        <w:t>What capability, learning, or future option may not be growing?</w:t>
      </w:r>
    </w:p>
    <w:p>
      <w:pPr>
        <w:spacing w:after="60" w:before="0" w:line="300" w:lineRule="auto"/>
      </w:pPr>
      <w:r>
        <w:rPr>
          <w:rFonts w:ascii="Arial" w:hAnsi="Arial" w:cs="Arial"/>
          <w:b w:val="0"/>
          <w:i/>
          <w:color w:val="4A4A4A"/>
          <w:sz w:val="19"/>
        </w:rPr>
        <w:t>Name the specific thing, not a general sense that something is off.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FFF"/>
          </w:tcPr>
          <w:p>
            <w:pPr>
              <w:spacing w:after="40"/>
              <w:pBdr>
                <w:bottom w:val="single" w:sz="4" w:space="6" w:color="D9D0BE"/>
              </w:pBdr>
            </w:pPr>
            <w:r/>
            <w:r>
              <w:rPr>
                <w:sz w:val="22"/>
              </w:rPr>
              <w:t xml:space="preserve"> </w:t>
            </w:r>
          </w:p>
          <w:p>
            <w:pPr>
              <w:spacing w:after="40"/>
              <w:pBdr>
                <w:bottom w:val="single" w:sz="4" w:space="6" w:color="D9D0BE"/>
              </w:pBdr>
            </w:pPr>
            <w:r>
              <w:rPr>
                <w:sz w:val="22"/>
              </w:rPr>
              <w:t xml:space="preserve"> </w:t>
            </w:r>
          </w:p>
        </w:tc>
      </w:tr>
    </w:tbl>
    <w:p>
      <w:pPr>
        <w:spacing w:after="40" w:before="120" w:line="300" w:lineRule="auto"/>
      </w:pPr>
      <w:r>
        <w:rPr>
          <w:rFonts w:ascii="Arial" w:hAnsi="Arial" w:cs="Arial"/>
          <w:b/>
          <w:i w:val="0"/>
          <w:color w:val="C1440E"/>
          <w:sz w:val="26"/>
        </w:rPr>
        <w:t xml:space="preserve">4.  </w:t>
      </w:r>
      <w:r>
        <w:rPr>
          <w:rFonts w:ascii="Georgia" w:hAnsi="Georgia" w:cs="Georgia"/>
          <w:b/>
          <w:i w:val="0"/>
          <w:color w:val="0F2347"/>
          <w:sz w:val="28"/>
        </w:rPr>
        <w:t>What is the next question I need to investigate?</w:t>
      </w:r>
    </w:p>
    <w:p>
      <w:pPr>
        <w:spacing w:after="60" w:before="0" w:line="300" w:lineRule="auto"/>
      </w:pPr>
      <w:r>
        <w:rPr>
          <w:rFonts w:ascii="Arial" w:hAnsi="Arial" w:cs="Arial"/>
          <w:b w:val="0"/>
          <w:i/>
          <w:color w:val="4A4A4A"/>
          <w:sz w:val="19"/>
        </w:rPr>
        <w:t>The question you would need to read more carefully before making a bigger career decision.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FFF"/>
          </w:tcPr>
          <w:p>
            <w:pPr>
              <w:spacing w:after="40"/>
              <w:pBdr>
                <w:bottom w:val="single" w:sz="4" w:space="6" w:color="D9D0BE"/>
              </w:pBdr>
            </w:pPr>
            <w:r/>
            <w:r>
              <w:rPr>
                <w:sz w:val="22"/>
              </w:rPr>
              <w:t xml:space="preserve"> </w:t>
            </w:r>
          </w:p>
          <w:p>
            <w:pPr>
              <w:spacing w:after="40"/>
              <w:pBdr>
                <w:bottom w:val="single" w:sz="4" w:space="6" w:color="D9D0BE"/>
              </w:pBdr>
            </w:pPr>
            <w:r>
              <w:rPr>
                <w:sz w:val="22"/>
              </w:rPr>
              <w:t xml:space="preserve"> </w:t>
            </w:r>
          </w:p>
        </w:tc>
      </w:tr>
    </w:tbl>
    <w:p>
      <w:pPr>
        <w:pBdr>
          <w:bottom w:val="single" w:sz="6" w:space="1" w:color="C9A84C"/>
        </w:pBdr>
        <w:spacing w:after="80"/>
      </w:pPr>
    </w:p>
    <w:p>
      <w:pPr>
        <w:spacing w:after="80" w:before="0" w:line="300" w:lineRule="auto"/>
      </w:pPr>
      <w:r>
        <w:rPr>
          <w:rFonts w:ascii="Arial" w:hAnsi="Arial" w:cs="Arial"/>
          <w:b w:val="0"/>
          <w:i/>
          <w:color w:val="4A4A4A"/>
          <w:sz w:val="18"/>
        </w:rPr>
        <w:t>This artifact is a recognition tool. It does not calculate Density or Optionality, place you into a Career State, or replace the full evidence-backed read.</w:t>
      </w:r>
    </w:p>
    <w:p>
      <w:pPr>
        <w:spacing w:after="40" w:before="0" w:line="300" w:lineRule="auto"/>
      </w:pPr>
      <w:r>
        <w:rPr>
          <w:rFonts w:ascii="Georgia" w:hAnsi="Georgia" w:cs="Georgia"/>
          <w:b w:val="0"/>
          <w:i/>
          <w:color w:val="0F2347"/>
          <w:sz w:val="23"/>
        </w:rPr>
        <w:t>For the full evidence-backed read: Decide Whether to Stay or Leave Your Job — A Live Career Growth Assessment. The Capability Position Read.</w:t>
      </w:r>
    </w:p>
    <w:p>
      <w:pPr>
        <w:spacing w:after="120" w:before="120" w:line="300" w:lineRule="auto"/>
      </w:pPr>
      <w:r>
        <w:rPr>
          <w:rFonts w:ascii="Arial" w:hAnsi="Arial" w:cs="Arial"/>
          <w:b w:val="0"/>
          <w:i w:val="0"/>
          <w:color w:val="4A4A4A"/>
          <w:sz w:val="15"/>
          <w:spacing w:val="25"/>
        </w:rPr>
        <w:t>TEMIDAYO AFONJA   |   TEMIDAYOAFONJA.COM   |   v1.0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