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b/>
          <w:i w:val="0"/>
          <w:color w:val="0F2346"/>
          <w:sz w:val="48"/>
        </w:rPr>
        <w:t>How to Move Into a New Industry Without Starting Over</w:t>
      </w:r>
    </w:p>
    <w:p>
      <w:pPr>
        <w:spacing w:before="0" w:after="120" w:line="264" w:lineRule="auto"/>
      </w:pPr>
      <w:r>
        <w:rPr>
          <w:b w:val="0"/>
          <w:i w:val="0"/>
          <w:color w:val="5A6B82"/>
          <w:sz w:val="24"/>
        </w:rPr>
        <w:t>Video 8  ·  Teleprompter script with slide markers</w:t>
      </w:r>
    </w:p>
    <w:p>
      <w:pPr>
        <w:spacing w:before="0" w:after="400" w:line="288" w:lineRule="auto"/>
      </w:pPr>
      <w:r>
        <w:rPr>
          <w:b w:val="0"/>
          <w:i/>
          <w:color w:val="5A6B82"/>
          <w:sz w:val="22"/>
        </w:rPr>
        <w:t>Spoken script is the large text. Everything in a tinted band is a production direction and is not spoken.</w:t>
      </w:r>
    </w:p>
    <w:p>
      <w:pPr>
        <w:spacing w:before="0" w:after="360" w:line="288" w:lineRule="auto"/>
        <w:shd w:val="clear" w:fill="F3F0E8"/>
      </w:pPr>
      <w:r>
        <w:rPr>
          <w:b w:val="0"/>
          <w:i/>
          <w:color w:val="5A6B82"/>
          <w:sz w:val="21"/>
        </w:rPr>
        <w:t>Target 1,450-1,700 spoken words. This draft is 1586.</w:t>
      </w:r>
    </w:p>
    <w:p>
      <w:pPr>
        <w:spacing w:before="400" w:after="240" w:line="264" w:lineRule="auto"/>
        <w:shd w:val="clear" w:fill="F3F0E8"/>
        <w:keepLines w:val="1"/>
        <w:keepNext w:val="1"/>
      </w:pPr>
      <w:r>
        <w:rPr>
          <w:b/>
          <w:i w:val="0"/>
          <w:caps/>
          <w:color w:val="8A6D1E"/>
          <w:sz w:val="21"/>
        </w:rPr>
        <w:t>0:00-0:30 | HOOK + PROMISE</w:t>
      </w:r>
    </w:p>
    <w:p>
      <w:pPr>
        <w:spacing w:before="0" w:after="240" w:line="360" w:lineRule="auto"/>
      </w:pPr>
      <w:r>
        <w:rPr>
          <w:b w:val="0"/>
          <w:i w:val="0"/>
          <w:color w:val="1A1A1A"/>
          <w:sz w:val="27"/>
        </w:rPr>
        <w:t>Do I really have to start over just because I’m changing industries?</w:t>
      </w:r>
    </w:p>
    <w:p>
      <w:pPr>
        <w:spacing w:before="0" w:after="240" w:line="360" w:lineRule="auto"/>
      </w:pPr>
      <w:r>
        <w:rPr>
          <w:b w:val="0"/>
          <w:i w:val="0"/>
          <w:color w:val="1A1A1A"/>
          <w:sz w:val="27"/>
        </w:rPr>
        <w:t>No. But your experience won’t translate itself.</w:t>
      </w:r>
    </w:p>
    <w:p>
      <w:pPr>
        <w:spacing w:before="0" w:after="240" w:line="360" w:lineRule="auto"/>
      </w:pPr>
      <w:r>
        <w:rPr>
          <w:b w:val="0"/>
          <w:i w:val="0"/>
          <w:color w:val="1A1A1A"/>
          <w:sz w:val="27"/>
        </w:rPr>
        <w:t>You have to show what still travels, what belongs to the old context, and what you’re prepared to learn next.</w:t>
      </w:r>
    </w:p>
    <w:p>
      <w:pPr>
        <w:spacing w:before="0" w:after="240" w:line="360" w:lineRule="auto"/>
      </w:pPr>
      <w:r>
        <w:rPr>
          <w:b w:val="0"/>
          <w:i w:val="0"/>
          <w:color w:val="1A1A1A"/>
          <w:sz w:val="27"/>
        </w:rPr>
        <w:t>I’ve made this move more than once. Over nearly two decades, I’ve worked across eight industries and sectors, including at Deloitte, EY and PwC, and moved from Consultant to Head of Function.</w:t>
      </w:r>
    </w:p>
    <w:p>
      <w:pPr>
        <w:spacing w:before="0" w:after="240" w:line="360" w:lineRule="auto"/>
      </w:pPr>
      <w:r>
        <w:rPr>
          <w:b w:val="0"/>
          <w:i w:val="0"/>
          <w:color w:val="1A1A1A"/>
          <w:sz w:val="27"/>
        </w:rPr>
        <w:t>It wasn’t smooth. Some of what I brought with me was useful immediately. Some of it was no help at all in the room I’d just walked into. When I moved toward cybersecurity and privacy, I prepared for the CISM exam and didn’t pass the first time. Judgment travels. Context doesn’t travel for free.</w:t>
      </w:r>
    </w:p>
    <w:p>
      <w:pPr>
        <w:spacing w:before="280" w:after="280" w:line="264" w:lineRule="auto"/>
        <w:shd w:val="clear" w:fill="E8EDF4"/>
        <w:pBdr>
          <w:left w:val="single" w:sz="18" w:space="8" w:color="0F2346"/>
        </w:pBdr>
        <w:keepLines w:val="1"/>
        <w:keepNext w:val="1"/>
      </w:pPr>
      <w:r>
        <w:rPr>
          <w:b/>
          <w:i w:val="0"/>
          <w:color w:val="0F2346"/>
          <w:sz w:val="22"/>
        </w:rPr>
        <w:t>SLIDE 1  —  New context, not no experience   (2 reveal states)</w:t>
      </w:r>
    </w:p>
    <w:p>
      <w:pPr>
        <w:spacing w:before="0" w:after="240" w:line="360" w:lineRule="auto"/>
      </w:pPr>
      <w:r>
        <w:rPr>
          <w:b w:val="0"/>
          <w:i w:val="0"/>
          <w:color w:val="1A1A1A"/>
          <w:sz w:val="27"/>
        </w:rPr>
        <w:t>What I learned is that changing industries does not make you entry-level at everything. It makes you new to a context.</w:t>
      </w:r>
    </w:p>
    <w:p>
      <w:pPr>
        <w:spacing w:before="0" w:after="240" w:line="360" w:lineRule="auto"/>
      </w:pPr>
      <w:r>
        <w:rPr>
          <w:b w:val="0"/>
          <w:i w:val="0"/>
          <w:color w:val="1A1A1A"/>
          <w:sz w:val="27"/>
        </w:rPr>
        <w:t>I’m Temidayo Afonja. I help experienced professionals work out what they can carry across roles, functions, employers and industries, so that the next move doesn’t feel like starting from zero.</w:t>
      </w:r>
    </w:p>
    <w:p>
      <w:pPr>
        <w:spacing w:before="0" w:after="240" w:line="360" w:lineRule="auto"/>
      </w:pPr>
      <w:r>
        <w:rPr>
          <w:b w:val="0"/>
          <w:i w:val="0"/>
          <w:color w:val="1A1A1A"/>
          <w:sz w:val="27"/>
        </w:rPr>
        <w:t>So I’m going to show you how to separate the capability you already have from the context you still need to learn—and how to make that difference credible to someone in the new industry.</w:t>
      </w:r>
    </w:p>
    <w:p>
      <w:pPr>
        <w:spacing w:before="400" w:after="240" w:line="264" w:lineRule="auto"/>
        <w:shd w:val="clear" w:fill="F3F0E8"/>
        <w:keepLines w:val="1"/>
        <w:keepNext w:val="1"/>
      </w:pPr>
      <w:r>
        <w:rPr>
          <w:b/>
          <w:i w:val="0"/>
          <w:caps/>
          <w:color w:val="8A6D1E"/>
          <w:sz w:val="21"/>
        </w:rPr>
        <w:t>0:30-1:15 | EARLY PROOF + INTRODUCTION</w:t>
      </w:r>
    </w:p>
    <w:p>
      <w:pPr>
        <w:spacing w:before="400" w:after="240" w:line="264" w:lineRule="auto"/>
        <w:shd w:val="clear" w:fill="F3F0E8"/>
        <w:keepLines w:val="1"/>
        <w:keepNext w:val="1"/>
      </w:pPr>
      <w:r>
        <w:rPr>
          <w:b/>
          <w:i w:val="0"/>
          <w:caps/>
          <w:color w:val="8A6D1E"/>
          <w:sz w:val="21"/>
        </w:rPr>
        <w:t>1:15-2:15 | WHAT ACTUALLY CHANGES</w:t>
      </w:r>
    </w:p>
    <w:p>
      <w:pPr>
        <w:spacing w:before="280" w:after="280" w:line="264" w:lineRule="auto"/>
        <w:shd w:val="clear" w:fill="E8EDF4"/>
        <w:pBdr>
          <w:left w:val="single" w:sz="18" w:space="8" w:color="0F2346"/>
        </w:pBdr>
        <w:keepLines w:val="1"/>
        <w:keepNext w:val="1"/>
      </w:pPr>
      <w:r>
        <w:rPr>
          <w:b/>
          <w:i w:val="0"/>
          <w:color w:val="0F2346"/>
          <w:sz w:val="22"/>
        </w:rPr>
        <w:t>SLIDE 2  —  What actually changes   (2 reveal states)</w:t>
      </w:r>
    </w:p>
    <w:p>
      <w:pPr>
        <w:spacing w:before="0" w:after="240" w:line="360" w:lineRule="auto"/>
      </w:pPr>
      <w:r>
        <w:rPr>
          <w:b w:val="0"/>
          <w:i w:val="0"/>
          <w:color w:val="1A1A1A"/>
          <w:sz w:val="27"/>
        </w:rPr>
        <w:t>Let me be precise about what changes when you move industries, because “everything” is not true and neither is “nothing.”</w:t>
      </w:r>
    </w:p>
    <w:p>
      <w:pPr>
        <w:spacing w:before="0" w:after="240" w:line="360" w:lineRule="auto"/>
      </w:pPr>
      <w:r>
        <w:rPr>
          <w:b w:val="0"/>
          <w:i w:val="0"/>
          <w:color w:val="1A1A1A"/>
          <w:sz w:val="27"/>
        </w:rPr>
        <w:t>The language changes. The same idea goes by a different name, and using the old name marks you as an outsider faster than any gap on your CV. The stakeholders change: who has to be convinced, who can quietly stop something, who is actually accountable when it goes wrong.</w:t>
      </w:r>
    </w:p>
    <w:p>
      <w:pPr>
        <w:spacing w:before="0" w:after="240" w:line="360" w:lineRule="auto"/>
      </w:pPr>
      <w:r>
        <w:rPr>
          <w:b w:val="0"/>
          <w:i w:val="0"/>
          <w:color w:val="1A1A1A"/>
          <w:sz w:val="27"/>
        </w:rPr>
        <w:t>The incentives change, and this is the one people underestimate. In one industry the pressure is quarterly. In another it is a regulator, or a safety record, or a clinical outcome. That pressure shapes every decision being made around you, including the ones nobody explains to you.</w:t>
      </w:r>
    </w:p>
    <w:p>
      <w:pPr>
        <w:spacing w:before="0" w:after="240" w:line="360" w:lineRule="auto"/>
      </w:pPr>
      <w:r>
        <w:rPr>
          <w:b w:val="0"/>
          <w:i w:val="0"/>
          <w:color w:val="1A1A1A"/>
          <w:sz w:val="27"/>
        </w:rPr>
        <w:t>The regulation changes. The operating rhythm changes — what counts as a fast decision, what a normal cycle looks like, when the year actually begins. And the risks change, so what everyone is quietly worried about is different, and until you know what it is you will keep proposing sensible things that land badly.</w:t>
      </w:r>
    </w:p>
    <w:p>
      <w:pPr>
        <w:spacing w:before="0" w:after="240" w:line="360" w:lineRule="auto"/>
      </w:pPr>
      <w:r>
        <w:rPr>
          <w:b w:val="0"/>
          <w:i w:val="0"/>
          <w:color w:val="1A1A1A"/>
          <w:sz w:val="27"/>
        </w:rPr>
        <w:t>None of that is your competence. All of it is context. And context is learnable, which makes it a far smaller problem than the one you thought you had.</w:t>
      </w:r>
    </w:p>
    <w:p>
      <w:pPr>
        <w:spacing w:before="400" w:after="240" w:line="264" w:lineRule="auto"/>
        <w:shd w:val="clear" w:fill="F3F0E8"/>
        <w:keepLines w:val="1"/>
        <w:keepNext w:val="1"/>
      </w:pPr>
      <w:r>
        <w:rPr>
          <w:b/>
          <w:i w:val="0"/>
          <w:caps/>
          <w:color w:val="8A6D1E"/>
          <w:sz w:val="21"/>
        </w:rPr>
        <w:t>2:15-4:10 | MOVE ONE — SEPARATE CAPABILITY, CONTEXT AND CREDENTIAL</w:t>
      </w:r>
    </w:p>
    <w:p>
      <w:pPr>
        <w:spacing w:before="280" w:after="280" w:line="264" w:lineRule="auto"/>
        <w:shd w:val="clear" w:fill="E8EDF4"/>
        <w:pBdr>
          <w:left w:val="single" w:sz="18" w:space="8" w:color="0F2346"/>
        </w:pBdr>
        <w:keepLines w:val="1"/>
        <w:keepNext w:val="1"/>
      </w:pPr>
      <w:r>
        <w:rPr>
          <w:b/>
          <w:i w:val="0"/>
          <w:color w:val="0F2346"/>
          <w:sz w:val="22"/>
        </w:rPr>
        <w:t>SLIDE 3  —  Capability, context, credential   (3 reveal states)</w:t>
      </w:r>
    </w:p>
    <w:p>
      <w:pPr>
        <w:spacing w:before="0" w:after="240" w:line="360" w:lineRule="auto"/>
      </w:pPr>
      <w:r>
        <w:rPr>
          <w:b w:val="0"/>
          <w:i w:val="0"/>
          <w:color w:val="1A1A1A"/>
          <w:sz w:val="27"/>
        </w:rPr>
        <w:t>That brings me to the first move, which is to stop carrying your experience around as one undifferentiated lump. Separate it into capability, context and credential.</w:t>
      </w:r>
    </w:p>
    <w:p>
      <w:pPr>
        <w:spacing w:before="280" w:after="280" w:line="264" w:lineRule="auto"/>
        <w:shd w:val="clear" w:fill="E8EDF4"/>
        <w:pBdr>
          <w:left w:val="single" w:sz="18" w:space="8" w:color="0F2346"/>
        </w:pBdr>
        <w:keepLines w:val="1"/>
        <w:keepNext w:val="1"/>
      </w:pPr>
      <w:r>
        <w:rPr>
          <w:b/>
          <w:i w:val="0"/>
          <w:color w:val="0F2346"/>
          <w:sz w:val="22"/>
        </w:rPr>
        <w:t>SLIDE 4  —  What travels   (2 reveal states)</w:t>
      </w:r>
    </w:p>
    <w:p>
      <w:pPr>
        <w:spacing w:before="0" w:after="240" w:line="360" w:lineRule="auto"/>
      </w:pPr>
      <w:r>
        <w:rPr>
          <w:b w:val="0"/>
          <w:i w:val="0"/>
          <w:color w:val="1A1A1A"/>
          <w:sz w:val="27"/>
        </w:rPr>
        <w:t>Capability is judgment or ability that stays useful when the setting changes. Finding the real decision in a room full of stated positions. Structuring a problem nobody has framed yet. Knowing when a number is too clean to be true. Holding a position when the room would rather you did not. Those do not belong to an industry.</w:t>
      </w:r>
    </w:p>
    <w:p>
      <w:pPr>
        <w:spacing w:before="280" w:after="280" w:line="264" w:lineRule="auto"/>
        <w:shd w:val="clear" w:fill="E8EDF4"/>
        <w:pBdr>
          <w:left w:val="single" w:sz="18" w:space="8" w:color="0F2346"/>
        </w:pBdr>
        <w:keepLines w:val="1"/>
        <w:keepNext w:val="1"/>
      </w:pPr>
      <w:r>
        <w:rPr>
          <w:b/>
          <w:i w:val="0"/>
          <w:color w:val="0F2346"/>
          <w:sz w:val="22"/>
        </w:rPr>
        <w:t>SLIDE 5  —  What must be relearned   (2 reveal states)</w:t>
      </w:r>
    </w:p>
    <w:p>
      <w:pPr>
        <w:spacing w:before="0" w:after="240" w:line="360" w:lineRule="auto"/>
      </w:pPr>
      <w:r>
        <w:rPr>
          <w:b w:val="0"/>
          <w:i w:val="0"/>
          <w:color w:val="1A1A1A"/>
          <w:sz w:val="27"/>
        </w:rPr>
        <w:t>Context is what the new field knows and you do not — its language, its stakeholders, its incentives, its regulation, its rhythm and its risks. From the inside it feels like a competence gap. It is an information gap, and it can close when you are deliberate about learning it.</w:t>
      </w:r>
    </w:p>
    <w:p>
      <w:pPr>
        <w:spacing w:before="280" w:after="280" w:line="264" w:lineRule="auto"/>
        <w:shd w:val="clear" w:fill="E8EDF4"/>
        <w:pBdr>
          <w:left w:val="single" w:sz="18" w:space="8" w:color="0F2346"/>
        </w:pBdr>
        <w:keepLines w:val="1"/>
        <w:keepNext w:val="1"/>
      </w:pPr>
      <w:r>
        <w:rPr>
          <w:b/>
          <w:i w:val="0"/>
          <w:color w:val="0F2346"/>
          <w:sz w:val="22"/>
        </w:rPr>
        <w:t>SLIDE 6  —  What must be earned</w:t>
      </w:r>
    </w:p>
    <w:p>
      <w:pPr>
        <w:spacing w:before="0" w:after="240" w:line="360" w:lineRule="auto"/>
      </w:pPr>
      <w:r>
        <w:rPr>
          <w:b w:val="0"/>
          <w:i w:val="0"/>
          <w:color w:val="1A1A1A"/>
          <w:sz w:val="27"/>
        </w:rPr>
        <w:t>Credential is the formal evidence or permission the destination may require. Sometimes it is genuinely required and there is no way around it, so you plan for it. Sometimes it is not required but it shortens the conversation, which is a real benefit worth weighing. And sometimes it is neither, and people pursue it anyway because it feels like progress when the rest of the move feels stuck. That is an understandable thing to do and an expensive one.</w:t>
      </w:r>
    </w:p>
    <w:p>
      <w:pPr>
        <w:spacing w:before="0" w:after="240" w:line="360" w:lineRule="auto"/>
      </w:pPr>
      <w:r>
        <w:rPr>
          <w:b w:val="0"/>
          <w:i w:val="0"/>
          <w:color w:val="1A1A1A"/>
          <w:sz w:val="27"/>
        </w:rPr>
        <w:t>The reason to separate the three is that they have different remedies. A certificate will not fix a context gap. Enthusiasm will not fix a missing licence. And you do not need to rebuild a capability you already have simply because the room is unfamiliar.</w:t>
      </w:r>
    </w:p>
    <w:p>
      <w:pPr>
        <w:spacing w:before="400" w:after="240" w:line="264" w:lineRule="auto"/>
        <w:shd w:val="clear" w:fill="F3F0E8"/>
        <w:keepLines w:val="1"/>
        <w:keepNext w:val="1"/>
      </w:pPr>
      <w:r>
        <w:rPr>
          <w:b/>
          <w:i w:val="0"/>
          <w:caps/>
          <w:color w:val="8A6D1E"/>
          <w:sz w:val="21"/>
        </w:rPr>
        <w:t>4:10-6:15 | MOVE TWO — MATCH JUDGMENT TO DESTINATION PROBLEMS</w:t>
      </w:r>
    </w:p>
    <w:p>
      <w:pPr>
        <w:spacing w:before="280" w:after="280" w:line="264" w:lineRule="auto"/>
        <w:shd w:val="clear" w:fill="E8EDF4"/>
        <w:pBdr>
          <w:left w:val="single" w:sz="18" w:space="8" w:color="0F2346"/>
        </w:pBdr>
        <w:keepLines w:val="1"/>
        <w:keepNext w:val="1"/>
      </w:pPr>
      <w:r>
        <w:rPr>
          <w:b/>
          <w:i w:val="0"/>
          <w:color w:val="0F2346"/>
          <w:sz w:val="22"/>
        </w:rPr>
        <w:t>SLIDE 7  —  Start from the destination   (2 reveal states)</w:t>
      </w:r>
    </w:p>
    <w:p>
      <w:pPr>
        <w:spacing w:before="0" w:after="240" w:line="360" w:lineRule="auto"/>
      </w:pPr>
      <w:r>
        <w:rPr>
          <w:b w:val="0"/>
          <w:i w:val="0"/>
          <w:color w:val="1A1A1A"/>
          <w:sz w:val="27"/>
        </w:rPr>
        <w:t>The second move is to match the judgment you already have to the problems the destination industry actually needs solved.</w:t>
      </w:r>
    </w:p>
    <w:p>
      <w:pPr>
        <w:spacing w:before="280" w:after="280" w:line="264" w:lineRule="auto"/>
        <w:shd w:val="clear" w:fill="E8EDF4"/>
        <w:pBdr>
          <w:left w:val="single" w:sz="18" w:space="8" w:color="0F2346"/>
        </w:pBdr>
        <w:keepLines w:val="1"/>
        <w:keepNext w:val="1"/>
      </w:pPr>
      <w:r>
        <w:rPr>
          <w:b/>
          <w:i w:val="0"/>
          <w:color w:val="0F2346"/>
          <w:sz w:val="22"/>
        </w:rPr>
        <w:t>SLIDE 8  —  Translate, do not recite   (2 reveal states)</w:t>
      </w:r>
    </w:p>
    <w:p>
      <w:pPr>
        <w:spacing w:before="0" w:after="240" w:line="360" w:lineRule="auto"/>
      </w:pPr>
      <w:r>
        <w:rPr>
          <w:b w:val="0"/>
          <w:i w:val="0"/>
          <w:color w:val="1A1A1A"/>
          <w:sz w:val="27"/>
        </w:rPr>
        <w:t>This is where most industry-change pitches come apart, because people reach for adjectives. Adaptable. Strategic. A fast learner. Those describe how you would like to be seen. They give the person across from you very little to evaluate, and experienced interviewers have heard them many times.</w:t>
      </w:r>
    </w:p>
    <w:p>
      <w:pPr>
        <w:spacing w:before="0" w:after="240" w:line="360" w:lineRule="auto"/>
      </w:pPr>
      <w:r>
        <w:rPr>
          <w:b w:val="0"/>
          <w:i w:val="0"/>
          <w:color w:val="1A1A1A"/>
          <w:sz w:val="27"/>
        </w:rPr>
        <w:t>Work in the other direction. Start with the destination rather than with your CV. What does that industry keep failing to solve? What is expensive there, or slow, or contested? You can find a surprising amount of that in trade press, earnings calls, regulator commentary, and in how job descriptions read when a team is frustrated.</w:t>
      </w:r>
    </w:p>
    <w:p>
      <w:pPr>
        <w:spacing w:before="0" w:after="240" w:line="360" w:lineRule="auto"/>
      </w:pPr>
      <w:r>
        <w:rPr>
          <w:b w:val="0"/>
          <w:i w:val="0"/>
          <w:color w:val="1A1A1A"/>
          <w:sz w:val="27"/>
        </w:rPr>
        <w:t>Then come back to your own history and ask what you already know how to do about problems shaped like that. Which of those decisions have you made before, under comparable pressure? Which patterns do you recognise early because you have watched them play out? Which stakeholders have you had to align when they wanted different things? Which constraints have you worked inside — a budget, a regulator, a safety requirement, a board that had already decided?</w:t>
      </w:r>
    </w:p>
    <w:p>
      <w:pPr>
        <w:spacing w:before="0" w:after="240" w:line="360" w:lineRule="auto"/>
      </w:pPr>
      <w:r>
        <w:rPr>
          <w:b w:val="0"/>
          <w:i w:val="0"/>
          <w:color w:val="1A1A1A"/>
          <w:sz w:val="27"/>
        </w:rPr>
        <w:t>The unit that transfers is not your job title and it is not your task list. It is judgment, with evidence attached.</w:t>
      </w:r>
    </w:p>
    <w:p>
      <w:pPr>
        <w:spacing w:before="0" w:after="240" w:line="360" w:lineRule="auto"/>
      </w:pPr>
      <w:r>
        <w:rPr>
          <w:b w:val="0"/>
          <w:i w:val="0"/>
          <w:color w:val="1A1A1A"/>
          <w:sz w:val="27"/>
        </w:rPr>
        <w:t>Be equally clear about where that judgment still needs translation. Saying you have managed a regulated change programme is transferable. Saying you know how their regulator behaves is not, unless you do. Claiming the second when you only have the first is the quickest way to lose a room you had already won.</w:t>
      </w:r>
    </w:p>
    <w:p>
      <w:pPr>
        <w:spacing w:before="400" w:after="240" w:line="264" w:lineRule="auto"/>
        <w:shd w:val="clear" w:fill="F3F0E8"/>
        <w:keepLines w:val="1"/>
        <w:keepNext w:val="1"/>
      </w:pPr>
      <w:r>
        <w:rPr>
          <w:b/>
          <w:i w:val="0"/>
          <w:caps/>
          <w:color w:val="8A6D1E"/>
          <w:sz w:val="21"/>
        </w:rPr>
        <w:t>6:15-8:30 | MOVE THREE — BUILD BRIDGE EVIDENCE AND A LEARNING PLAN</w:t>
      </w:r>
    </w:p>
    <w:p>
      <w:pPr>
        <w:spacing w:before="280" w:after="280" w:line="264" w:lineRule="auto"/>
        <w:shd w:val="clear" w:fill="E8EDF4"/>
        <w:pBdr>
          <w:left w:val="single" w:sz="18" w:space="8" w:color="0F2346"/>
        </w:pBdr>
        <w:keepLines w:val="1"/>
        <w:keepNext w:val="1"/>
      </w:pPr>
      <w:r>
        <w:rPr>
          <w:b/>
          <w:i w:val="0"/>
          <w:color w:val="0F2346"/>
          <w:sz w:val="22"/>
        </w:rPr>
        <w:t>SLIDE 9  —  Bridge evidence   (3 reveal states)</w:t>
      </w:r>
    </w:p>
    <w:p>
      <w:pPr>
        <w:spacing w:before="0" w:after="240" w:line="360" w:lineRule="auto"/>
      </w:pPr>
      <w:r>
        <w:rPr>
          <w:b w:val="0"/>
          <w:i w:val="0"/>
          <w:color w:val="1A1A1A"/>
          <w:sz w:val="27"/>
        </w:rPr>
        <w:t>The third move is to close the credibility gap using evidence you are actually permitted to have.</w:t>
      </w:r>
    </w:p>
    <w:p>
      <w:pPr>
        <w:spacing w:before="0" w:after="240" w:line="360" w:lineRule="auto"/>
      </w:pPr>
      <w:r>
        <w:rPr>
          <w:b w:val="0"/>
          <w:i w:val="0"/>
          <w:color w:val="1A1A1A"/>
          <w:sz w:val="27"/>
        </w:rPr>
        <w:t>The person considering you is not being unreasonable. They are being asked to take a risk on somebody who has not done this in their world. Your job is to make that risk smaller and more specific, not to argue that it is not there.</w:t>
      </w:r>
    </w:p>
    <w:p>
      <w:pPr>
        <w:spacing w:before="0" w:after="240" w:line="360" w:lineRule="auto"/>
      </w:pPr>
      <w:r>
        <w:rPr>
          <w:b w:val="0"/>
          <w:i w:val="0"/>
          <w:color w:val="1A1A1A"/>
          <w:sz w:val="27"/>
        </w:rPr>
        <w:t>A relevant project or assignment counts, even if it sat inside your old industry, and especially if it touched the same kind of problem. Cross-functional work counts, because it shows you can operate usefully in a room where you are not the expert.</w:t>
      </w:r>
    </w:p>
    <w:p>
      <w:pPr>
        <w:spacing w:before="0" w:after="240" w:line="360" w:lineRule="auto"/>
      </w:pPr>
      <w:r>
        <w:rPr>
          <w:b w:val="0"/>
          <w:i w:val="0"/>
          <w:color w:val="1A1A1A"/>
          <w:sz w:val="27"/>
        </w:rPr>
        <w:t>Research counts once you have turned it into a point of view. Not “I have read about the sector,” but “here is what I think is happening in it, here is what I would want to check first, and here is where I might be wrong.” That is a different quality of statement, and the people you are talking to can tell the difference immediately.</w:t>
      </w:r>
    </w:p>
    <w:p>
      <w:pPr>
        <w:spacing w:before="0" w:after="240" w:line="360" w:lineRule="auto"/>
      </w:pPr>
      <w:r>
        <w:rPr>
          <w:b w:val="0"/>
          <w:i w:val="0"/>
          <w:color w:val="1A1A1A"/>
          <w:sz w:val="27"/>
        </w:rPr>
        <w:t>A case study or work sample built from non-confidential information counts. A course or credential counts where it is genuinely relevant, and is dead weight where it is not. Conversations with practitioners count, and they do two jobs at once: they give you the language, and they tell you which of your assumptions are wrong before you say them out loud in an interview.</w:t>
      </w:r>
    </w:p>
    <w:p>
      <w:pPr>
        <w:spacing w:before="0" w:after="240" w:line="360" w:lineRule="auto"/>
      </w:pPr>
      <w:r>
        <w:rPr>
          <w:b w:val="0"/>
          <w:i w:val="0"/>
          <w:color w:val="1A1A1A"/>
          <w:sz w:val="27"/>
        </w:rPr>
        <w:t>A clear first-ninety-days learning plan can also reduce the credibility gap. It shows you understand there is something here to learn, which is the opposite of the overconfidence they are quietly screening for.</w:t>
      </w:r>
    </w:p>
    <w:p>
      <w:pPr>
        <w:spacing w:before="0" w:after="240" w:line="360" w:lineRule="auto"/>
      </w:pPr>
      <w:r>
        <w:rPr>
          <w:b w:val="0"/>
          <w:i w:val="0"/>
          <w:color w:val="1A1A1A"/>
          <w:sz w:val="27"/>
        </w:rPr>
        <w:t>What none of this permits is inventing experience or implying more familiarity than you have. The gap is real. You are making it smaller and legible. You are not pretending it is not there.</w:t>
      </w:r>
    </w:p>
    <w:p>
      <w:pPr>
        <w:spacing w:before="400" w:after="240" w:line="264" w:lineRule="auto"/>
        <w:shd w:val="clear" w:fill="F3F0E8"/>
        <w:keepLines w:val="1"/>
        <w:keepNext w:val="1"/>
      </w:pPr>
      <w:r>
        <w:rPr>
          <w:b/>
          <w:i w:val="0"/>
          <w:caps/>
          <w:color w:val="8A6D1E"/>
          <w:sz w:val="21"/>
        </w:rPr>
        <w:t>8:30-9:30 | THE THREE COLUMNS</w:t>
      </w:r>
    </w:p>
    <w:p>
      <w:pPr>
        <w:spacing w:before="280" w:after="280" w:line="264" w:lineRule="auto"/>
        <w:shd w:val="clear" w:fill="E8EDF4"/>
        <w:pBdr>
          <w:left w:val="single" w:sz="18" w:space="8" w:color="0F2346"/>
        </w:pBdr>
        <w:keepLines w:val="1"/>
        <w:keepNext w:val="1"/>
      </w:pPr>
      <w:r>
        <w:rPr>
          <w:b/>
          <w:i w:val="0"/>
          <w:color w:val="0F2346"/>
          <w:sz w:val="22"/>
        </w:rPr>
        <w:t>SLIDE 10  —  The three columns   (3 reveal states)</w:t>
      </w:r>
    </w:p>
    <w:p>
      <w:pPr>
        <w:spacing w:before="0" w:after="240" w:line="360" w:lineRule="auto"/>
      </w:pPr>
      <w:r>
        <w:rPr>
          <w:b w:val="0"/>
          <w:i w:val="0"/>
          <w:color w:val="1A1A1A"/>
          <w:sz w:val="27"/>
        </w:rPr>
        <w:t>So here is the exercise, and it fits on one page. Three columns.</w:t>
      </w:r>
    </w:p>
    <w:p>
      <w:pPr>
        <w:spacing w:before="0" w:after="240" w:line="360" w:lineRule="auto"/>
      </w:pPr>
      <w:r>
        <w:rPr>
          <w:b w:val="0"/>
          <w:i w:val="0"/>
          <w:color w:val="1A1A1A"/>
          <w:sz w:val="27"/>
        </w:rPr>
        <w:t>What travels: the judgment, the decisions, the patterns and the ways of working that stay useful when the setting changes.</w:t>
      </w:r>
    </w:p>
    <w:p>
      <w:pPr>
        <w:spacing w:before="0" w:after="240" w:line="360" w:lineRule="auto"/>
      </w:pPr>
      <w:r>
        <w:rPr>
          <w:b w:val="0"/>
          <w:i w:val="0"/>
          <w:color w:val="1A1A1A"/>
          <w:sz w:val="27"/>
        </w:rPr>
        <w:t>What changes: the language, the stakeholders, the incentives, the regulation, the rhythm and the risks you will have to learn.</w:t>
      </w:r>
    </w:p>
    <w:p>
      <w:pPr>
        <w:spacing w:before="0" w:after="240" w:line="360" w:lineRule="auto"/>
      </w:pPr>
      <w:r>
        <w:rPr>
          <w:b w:val="0"/>
          <w:i w:val="0"/>
          <w:color w:val="1A1A1A"/>
          <w:sz w:val="27"/>
        </w:rPr>
        <w:t>What I must earn: the credential, the licence or the specific exposure that no amount of adjacent experience substitutes for.</w:t>
      </w:r>
    </w:p>
    <w:p>
      <w:pPr>
        <w:spacing w:before="0" w:after="240" w:line="360" w:lineRule="auto"/>
      </w:pPr>
      <w:r>
        <w:rPr>
          <w:b w:val="0"/>
          <w:i w:val="0"/>
          <w:color w:val="1A1A1A"/>
          <w:sz w:val="27"/>
        </w:rPr>
        <w:t>You may find the first column is longer than you feared and the third is shorter than you assumed. That is the reason to write it down instead of carrying it around as a feeling.</w:t>
      </w:r>
    </w:p>
    <w:p>
      <w:pPr>
        <w:spacing w:before="0" w:after="240" w:line="360" w:lineRule="auto"/>
      </w:pPr>
      <w:r>
        <w:rPr>
          <w:b w:val="0"/>
          <w:i w:val="0"/>
          <w:color w:val="1A1A1A"/>
          <w:sz w:val="27"/>
        </w:rPr>
        <w:t>Then build one sentence out of it, in your own words. Something close to: I am new to this industry, but I am not new to this problem. Here is the evidence. Here is what I am learning right now.</w:t>
      </w:r>
    </w:p>
    <w:p>
      <w:pPr>
        <w:spacing w:before="0" w:after="240" w:line="360" w:lineRule="auto"/>
      </w:pPr>
      <w:r>
        <w:rPr>
          <w:b w:val="0"/>
          <w:i w:val="0"/>
          <w:color w:val="1A1A1A"/>
          <w:sz w:val="27"/>
        </w:rPr>
        <w:t>That sentence declines the false modesty of starting over without pretending the context comes free. And it gives the other person something they can actually check, which is what they wanted from the beginning.</w:t>
      </w:r>
    </w:p>
    <w:p>
      <w:pPr>
        <w:spacing w:before="400" w:after="240" w:line="264" w:lineRule="auto"/>
        <w:shd w:val="clear" w:fill="F3F0E8"/>
        <w:keepLines w:val="1"/>
        <w:keepNext w:val="1"/>
      </w:pPr>
      <w:r>
        <w:rPr>
          <w:b/>
          <w:i w:val="0"/>
          <w:caps/>
          <w:color w:val="8A6D1E"/>
          <w:sz w:val="21"/>
        </w:rPr>
        <w:t>9:30-10:05 | PRIMARY CTA</w:t>
      </w:r>
    </w:p>
    <w:p>
      <w:pPr>
        <w:spacing w:before="280" w:after="280" w:line="264" w:lineRule="auto"/>
        <w:shd w:val="clear" w:fill="E8EDF4"/>
        <w:pBdr>
          <w:left w:val="single" w:sz="18" w:space="8" w:color="0F2346"/>
        </w:pBdr>
        <w:keepLines w:val="1"/>
        <w:keepNext w:val="1"/>
      </w:pPr>
      <w:r>
        <w:rPr>
          <w:b/>
          <w:i w:val="0"/>
          <w:color w:val="0F2346"/>
          <w:sz w:val="22"/>
        </w:rPr>
        <w:t>SLIDE 11  —  Capability Formation Field Kit</w:t>
      </w:r>
    </w:p>
    <w:p>
      <w:pPr>
        <w:spacing w:before="0" w:after="240" w:line="360" w:lineRule="auto"/>
      </w:pPr>
      <w:r>
        <w:rPr>
          <w:b w:val="0"/>
          <w:i w:val="0"/>
          <w:color w:val="1A1A1A"/>
          <w:sz w:val="27"/>
        </w:rPr>
        <w:t>If you want a structured way to work through this, the Capability Formation Field Kit is built for exactly it. It helps you look at what your work has formed in you, how portable that is, and where you still need development or evidence. It will not tell you which industry is hiring, and it does not replace researching the field you are moving toward — that part stays yours. You will find it at temidayoafonja.com/fieldkit.</w:t>
      </w:r>
    </w:p>
    <w:p>
      <w:pPr>
        <w:spacing w:before="400" w:after="240" w:line="264" w:lineRule="auto"/>
        <w:shd w:val="clear" w:fill="F3F0E8"/>
        <w:keepLines w:val="1"/>
        <w:keepNext w:val="1"/>
      </w:pPr>
      <w:r>
        <w:rPr>
          <w:b/>
          <w:i w:val="0"/>
          <w:caps/>
          <w:color w:val="8A6D1E"/>
          <w:sz w:val="21"/>
        </w:rPr>
        <w:t>10:05-10:20 | CONTINUE THE SERIES</w:t>
      </w:r>
    </w:p>
    <w:p>
      <w:pPr>
        <w:spacing w:before="280" w:after="280" w:line="264" w:lineRule="auto"/>
        <w:shd w:val="clear" w:fill="E8EDF4"/>
        <w:pBdr>
          <w:left w:val="single" w:sz="18" w:space="8" w:color="0F2346"/>
        </w:pBdr>
        <w:keepLines w:val="1"/>
        <w:keepNext w:val="1"/>
      </w:pPr>
      <w:r>
        <w:rPr>
          <w:b/>
          <w:i w:val="0"/>
          <w:color w:val="0F2346"/>
          <w:sz w:val="22"/>
        </w:rPr>
        <w:t>SLIDE 12  —  Continue the series</w:t>
      </w:r>
    </w:p>
    <w:p>
      <w:pPr>
        <w:spacing w:before="0" w:after="240" w:line="360" w:lineRule="auto"/>
      </w:pPr>
      <w:r>
        <w:rPr>
          <w:b w:val="0"/>
          <w:i w:val="0"/>
          <w:color w:val="1A1A1A"/>
          <w:sz w:val="27"/>
        </w:rPr>
        <w:t>When you are ready for the next step, continue with the Career Portability playlist.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