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 AND V23</w:t>
      </w:r>
    </w:p>
    <w:p>
      <w:pPr>
        <w:spacing w:before="0" w:after="80"/>
      </w:pPr>
      <w:r>
        <w:rPr>
          <w:b/>
          <w:i w:val="0"/>
          <w:color w:val="112345"/>
          <w:sz w:val="42"/>
        </w:rPr>
        <w:t>Master changelog and source hierarchy</w:t>
      </w:r>
    </w:p>
    <w:p>
      <w:pPr>
        <w:spacing w:before="0" w:after="280"/>
      </w:pPr>
      <w:r>
        <w:rPr>
          <w:b w:val="0"/>
          <w:i w:val="0"/>
          <w:color w:val="5A6B82"/>
          <w:sz w:val="20"/>
        </w:rPr>
        <w:t>What was built, from what, and what was left alone</w:t>
      </w:r>
    </w:p>
    <w:p>
      <w:pPr>
        <w:spacing w:before="0" w:after="240"/>
        <w:pBdr>
          <w:bottom w:val="single" w:sz="6" w:color="8A6D1E"/>
        </w:pBdr>
      </w:pPr>
    </w:p>
    <w:p>
      <w:pPr>
        <w:spacing w:after="80"/>
      </w:pPr>
      <w:r>
        <w:rPr>
          <w:b/>
          <w:color w:val="8A6D1E"/>
          <w:sz w:val="20"/>
        </w:rPr>
        <w:t xml:space="preserve">Generated  </w:t>
      </w:r>
      <w:r>
        <w:rPr>
          <w:sz w:val="21"/>
        </w:rPr>
        <w:t>Sunday, September 13, 2026 | 4:33 PM CT</w:t>
      </w:r>
    </w:p>
    <w:p>
      <w:pPr>
        <w:spacing w:after="80"/>
      </w:pPr>
      <w:r>
        <w:rPr>
          <w:b/>
          <w:color w:val="8A6D1E"/>
          <w:sz w:val="20"/>
        </w:rPr>
        <w:t xml:space="preserve">Input archive  </w:t>
      </w:r>
      <w:r>
        <w:rPr>
          <w:sz w:val="21"/>
        </w:rPr>
        <w:t>V22_V23_CODE_BUILD_INPUTS_2026-09-13.zip</w:t>
      </w:r>
    </w:p>
    <w:p>
      <w:pPr>
        <w:spacing w:after="80"/>
      </w:pPr>
      <w:r>
        <w:rPr>
          <w:b/>
          <w:color w:val="8A6D1E"/>
          <w:sz w:val="20"/>
        </w:rPr>
        <w:t xml:space="preserve">Input SHA-256  </w:t>
      </w:r>
      <w:r>
        <w:rPr>
          <w:sz w:val="21"/>
        </w:rPr>
        <w:t>eb84bbb49566e30de403343071da8893ff577fb3fb537f7452ba77ca986c9a1d</w:t>
      </w:r>
    </w:p>
    <w:p>
      <w:pPr>
        <w:spacing w:before="200" w:after="200"/>
        <w:ind w:left="216"/>
        <w:pBdr>
          <w:left w:val="single" w:sz="18" w:color="9B2C10" w:space="8"/>
        </w:pBdr>
        <w:keepNext w:val="1"/>
        <w:keepLines w:val="1"/>
      </w:pPr>
      <w:r>
        <w:rPr>
          <w:b/>
          <w:color w:val="9B2C10"/>
          <w:sz w:val="21"/>
        </w:rPr>
        <w:t>No spoken wording was changed in either script. Every conflict between a source and the production layer was resolved in the production layer.</w:t>
      </w:r>
    </w:p>
    <w:p>
      <w:pPr>
        <w:spacing w:before="320" w:after="120"/>
        <w:keepNext w:val="1"/>
        <w:keepLines w:val="1"/>
      </w:pPr>
      <w:r>
        <w:rPr>
          <w:b/>
          <w:i w:val="0"/>
          <w:color w:val="112345"/>
          <w:sz w:val="26"/>
        </w:rPr>
        <w:t>ORDER OF AUTHORITY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r>
          </w:p>
        </w:tc>
        <w:tc>
          <w:tcPr>
            <w:tcW w:type="dxa" w:w="3312"/>
            <w:shd w:val="clear" w:color="auto" w:fill="F3EFE6"/>
          </w:tcPr>
          <w:p>
            <w:pPr>
              <w:spacing w:before="60" w:after="60" w:line="264" w:lineRule="auto"/>
            </w:pPr>
            <w:r/>
            <w:r>
              <w:rPr>
                <w:b/>
                <w:i w:val="0"/>
                <w:color w:val="112345"/>
                <w:sz w:val="17"/>
              </w:rPr>
              <w:t>SOURCE</w:t>
            </w:r>
          </w:p>
        </w:tc>
        <w:tc>
          <w:tcPr>
            <w:tcW w:type="dxa" w:w="5760"/>
            <w:shd w:val="clear" w:color="auto" w:fill="F3EFE6"/>
          </w:tcPr>
          <w:p>
            <w:pPr>
              <w:spacing w:before="60" w:after="60" w:line="264" w:lineRule="auto"/>
            </w:pPr>
            <w:r/>
            <w:r>
              <w:rPr>
                <w:b/>
                <w:i w:val="0"/>
                <w:color w:val="112345"/>
                <w:sz w:val="17"/>
              </w:rPr>
              <w:t>AUTHORITATIVE FOR</w:t>
            </w:r>
          </w:p>
        </w:tc>
      </w:tr>
      <w:tr>
        <w:tc>
          <w:tcPr>
            <w:tcW w:type="dxa" w:w="576"/>
          </w:tcPr>
          <w:p>
            <w:pPr>
              <w:spacing w:before="60" w:after="60" w:line="264" w:lineRule="auto"/>
            </w:pPr>
            <w:r/>
            <w:r>
              <w:rPr>
                <w:b w:val="0"/>
                <w:i w:val="0"/>
                <w:sz w:val="17"/>
              </w:rPr>
              <w:t>1</w:t>
            </w:r>
          </w:p>
        </w:tc>
        <w:tc>
          <w:tcPr>
            <w:tcW w:type="dxa" w:w="3312"/>
          </w:tcPr>
          <w:p>
            <w:pPr>
              <w:spacing w:before="60" w:after="60" w:line="264" w:lineRule="auto"/>
            </w:pPr>
            <w:r/>
            <w:r>
              <w:rPr>
                <w:b w:val="0"/>
                <w:i w:val="0"/>
                <w:sz w:val="17"/>
              </w:rPr>
              <w:t>V22 UPDATED 50CHAR script</w:t>
            </w:r>
          </w:p>
        </w:tc>
        <w:tc>
          <w:tcPr>
            <w:tcW w:type="dxa" w:w="5760"/>
          </w:tcPr>
          <w:p>
            <w:pPr>
              <w:spacing w:before="60" w:after="60" w:line="264" w:lineRule="auto"/>
            </w:pPr>
            <w:r/>
            <w:r>
              <w:rPr>
                <w:b w:val="0"/>
                <w:i w:val="0"/>
                <w:sz w:val="17"/>
              </w:rPr>
              <w:t>V22 title, thumbnail, spoken wording, editorial sequence, CTA</w:t>
            </w:r>
          </w:p>
        </w:tc>
      </w:tr>
      <w:tr>
        <w:tc>
          <w:tcPr>
            <w:tcW w:type="dxa" w:w="576"/>
          </w:tcPr>
          <w:p>
            <w:pPr>
              <w:spacing w:before="60" w:after="60" w:line="264" w:lineRule="auto"/>
            </w:pPr>
            <w:r/>
            <w:r>
              <w:rPr>
                <w:b w:val="0"/>
                <w:i w:val="0"/>
                <w:sz w:val="17"/>
              </w:rPr>
              <w:t>2</w:t>
            </w:r>
          </w:p>
        </w:tc>
        <w:tc>
          <w:tcPr>
            <w:tcW w:type="dxa" w:w="3312"/>
          </w:tcPr>
          <w:p>
            <w:pPr>
              <w:spacing w:before="60" w:after="60" w:line="264" w:lineRule="auto"/>
            </w:pPr>
            <w:r/>
            <w:r>
              <w:rPr>
                <w:b w:val="0"/>
                <w:i w:val="0"/>
                <w:sz w:val="17"/>
              </w:rPr>
              <w:t>V23 UPDATED 50CHAR script</w:t>
            </w:r>
          </w:p>
        </w:tc>
        <w:tc>
          <w:tcPr>
            <w:tcW w:type="dxa" w:w="5760"/>
          </w:tcPr>
          <w:p>
            <w:pPr>
              <w:spacing w:before="60" w:after="60" w:line="264" w:lineRule="auto"/>
            </w:pPr>
            <w:r/>
            <w:r>
              <w:rPr>
                <w:b w:val="0"/>
                <w:i w:val="0"/>
                <w:sz w:val="17"/>
              </w:rPr>
              <w:t>The same, for V23</w:t>
            </w:r>
          </w:p>
        </w:tc>
      </w:tr>
      <w:tr>
        <w:tc>
          <w:tcPr>
            <w:tcW w:type="dxa" w:w="576"/>
          </w:tcPr>
          <w:p>
            <w:pPr>
              <w:spacing w:before="60" w:after="60" w:line="264" w:lineRule="auto"/>
            </w:pPr>
            <w:r/>
            <w:r>
              <w:rPr>
                <w:b w:val="0"/>
                <w:i w:val="0"/>
                <w:sz w:val="17"/>
              </w:rPr>
              <w:t>3</w:t>
            </w:r>
          </w:p>
        </w:tc>
        <w:tc>
          <w:tcPr>
            <w:tcW w:type="dxa" w:w="3312"/>
          </w:tcPr>
          <w:p>
            <w:pPr>
              <w:spacing w:before="60" w:after="60" w:line="264" w:lineRule="auto"/>
            </w:pPr>
            <w:r/>
            <w:r>
              <w:rPr>
                <w:b w:val="0"/>
                <w:i w:val="0"/>
                <w:sz w:val="17"/>
              </w:rPr>
              <w:t>V22 and V23 Advisor Overview</w:t>
            </w:r>
          </w:p>
        </w:tc>
        <w:tc>
          <w:tcPr>
            <w:tcW w:type="dxa" w:w="5760"/>
          </w:tcPr>
          <w:p>
            <w:pPr>
              <w:spacing w:before="60" w:after="60" w:line="264" w:lineRule="auto"/>
            </w:pPr>
            <w:r/>
            <w:r>
              <w:rPr>
                <w:b w:val="0"/>
                <w:i w:val="0"/>
                <w:sz w:val="17"/>
              </w:rPr>
              <w:t>Editorial rationale, the distinction between the videos, and preserved boundaries. Never the exact spoken wording.</w:t>
            </w:r>
          </w:p>
        </w:tc>
      </w:tr>
      <w:tr>
        <w:tc>
          <w:tcPr>
            <w:tcW w:type="dxa" w:w="576"/>
          </w:tcPr>
          <w:p>
            <w:pPr>
              <w:spacing w:before="60" w:after="60" w:line="264" w:lineRule="auto"/>
            </w:pPr>
            <w:r/>
            <w:r>
              <w:rPr>
                <w:b w:val="0"/>
                <w:i w:val="0"/>
                <w:sz w:val="17"/>
              </w:rPr>
              <w:t>4</w:t>
            </w:r>
          </w:p>
        </w:tc>
        <w:tc>
          <w:tcPr>
            <w:tcW w:type="dxa" w:w="3312"/>
          </w:tcPr>
          <w:p>
            <w:pPr>
              <w:spacing w:before="60" w:after="60" w:line="264" w:lineRule="auto"/>
            </w:pPr>
            <w:r/>
            <w:r>
              <w:rPr>
                <w:b w:val="0"/>
                <w:i w:val="0"/>
                <w:sz w:val="17"/>
              </w:rPr>
              <w:t>Internal Source Capture Packet</w:t>
            </w:r>
          </w:p>
        </w:tc>
        <w:tc>
          <w:tcPr>
            <w:tcW w:type="dxa" w:w="5760"/>
          </w:tcPr>
          <w:p>
            <w:pPr>
              <w:spacing w:before="60" w:after="60" w:line="264" w:lineRule="auto"/>
            </w:pPr>
            <w:r/>
            <w:r>
              <w:rPr>
                <w:b w:val="0"/>
                <w:i w:val="0"/>
                <w:sz w:val="17"/>
              </w:rPr>
              <w:t>Provenance, employer evidence, research boundaries, source presentation, anonymization, synthetic-example rules</w:t>
            </w:r>
          </w:p>
        </w:tc>
      </w:tr>
      <w:tr>
        <w:tc>
          <w:tcPr>
            <w:tcW w:type="dxa" w:w="576"/>
          </w:tcPr>
          <w:p>
            <w:pPr>
              <w:spacing w:before="60" w:after="60" w:line="264" w:lineRule="auto"/>
            </w:pPr>
            <w:r/>
            <w:r>
              <w:rPr>
                <w:b w:val="0"/>
                <w:i w:val="0"/>
                <w:sz w:val="17"/>
              </w:rPr>
              <w:t>5</w:t>
            </w:r>
          </w:p>
        </w:tc>
        <w:tc>
          <w:tcPr>
            <w:tcW w:type="dxa" w:w="3312"/>
          </w:tcPr>
          <w:p>
            <w:pPr>
              <w:spacing w:before="60" w:after="60" w:line="264" w:lineRule="auto"/>
            </w:pPr>
            <w:r/>
            <w:r>
              <w:rPr>
                <w:b w:val="0"/>
                <w:i w:val="0"/>
                <w:sz w:val="17"/>
              </w:rPr>
              <w:t>Visual reference screenshots</w:t>
            </w:r>
          </w:p>
        </w:tc>
        <w:tc>
          <w:tcPr>
            <w:tcW w:type="dxa" w:w="5760"/>
          </w:tcPr>
          <w:p>
            <w:pPr>
              <w:spacing w:before="60" w:after="60" w:line="264" w:lineRule="auto"/>
            </w:pPr>
            <w:r/>
            <w:r>
              <w:rPr>
                <w:b w:val="0"/>
                <w:i w:val="0"/>
                <w:sz w:val="17"/>
              </w:rPr>
              <w:t>Information-design principles only</w:t>
            </w:r>
          </w:p>
        </w:tc>
      </w:tr>
    </w:tbl>
    <w:p>
      <w:pPr>
        <w:spacing w:after="120"/>
      </w:pPr>
    </w:p>
    <w:p>
      <w:pPr>
        <w:spacing w:before="320" w:after="120"/>
        <w:keepNext w:val="1"/>
        <w:keepLines w:val="1"/>
      </w:pPr>
      <w:r>
        <w:rPr>
          <w:b/>
          <w:i w:val="0"/>
          <w:color w:val="112345"/>
          <w:sz w:val="26"/>
        </w:rPr>
        <w:t>SUPERSEDED, AND ABSENT FROM EVERYTHING BUILT</w:t>
      </w:r>
    </w:p>
    <w:p>
      <w:pPr>
        <w:spacing w:after="80" w:line="278" w:lineRule="auto"/>
        <w:ind w:left="547" w:hanging="230"/>
      </w:pPr>
      <w:r>
        <w:rPr>
          <w:sz w:val="21"/>
        </w:rPr>
        <w:t>•   How to Read a Job Description for What Actually Matters So Fast, It Feels Like Cheating</w:t>
      </w:r>
    </w:p>
    <w:p>
      <w:pPr>
        <w:spacing w:after="80" w:line="278" w:lineRule="auto"/>
        <w:ind w:left="547" w:hanging="230"/>
      </w:pPr>
      <w:r>
        <w:rPr>
          <w:sz w:val="21"/>
        </w:rPr>
        <w:t>•   How to Turn One Accomplishment Into Career Proof So Fast, It Feels Like Cheating</w:t>
      </w:r>
    </w:p>
    <w:p>
      <w:pPr>
        <w:spacing w:after="80" w:line="278" w:lineRule="auto"/>
        <w:ind w:left="547" w:hanging="230"/>
      </w:pPr>
      <w:r>
        <w:rPr>
          <w:sz w:val="21"/>
        </w:rPr>
        <w:t>•   Thumbnail: ONE WIN → PROOF</w:t>
      </w:r>
    </w:p>
    <w:p>
      <w:pPr>
        <w:spacing w:after="80" w:line="278" w:lineRule="auto"/>
        <w:ind w:left="547" w:hanging="230"/>
      </w:pPr>
      <w:r>
        <w:rPr>
          <w:sz w:val="21"/>
        </w:rPr>
        <w:t>•   Older Video A and Video B scripts as current spoken source</w:t>
      </w:r>
    </w:p>
    <w:p>
      <w:pPr>
        <w:spacing w:before="320" w:after="120"/>
        <w:keepNext w:val="1"/>
        <w:keepLines w:val="1"/>
      </w:pPr>
      <w:r>
        <w:rPr>
          <w:b/>
          <w:i w:val="0"/>
          <w:color w:val="112345"/>
          <w:sz w:val="26"/>
        </w:rPr>
        <w:t>WHAT THE TWO VIDEOS DO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584"/>
            <w:shd w:val="clear" w:color="auto" w:fill="F3EFE6"/>
          </w:tcPr>
          <w:p>
            <w:pPr>
              <w:spacing w:before="60" w:after="60" w:line="264" w:lineRule="auto"/>
            </w:pPr>
            <w:r/>
            <w:r>
              <w:rPr>
                <w:b/>
                <w:i w:val="0"/>
                <w:color w:val="112345"/>
                <w:sz w:val="17"/>
              </w:rPr>
            </w:r>
          </w:p>
        </w:tc>
        <w:tc>
          <w:tcPr>
            <w:tcW w:type="dxa" w:w="4032"/>
            <w:shd w:val="clear" w:color="auto" w:fill="F3EFE6"/>
          </w:tcPr>
          <w:p>
            <w:pPr>
              <w:spacing w:before="60" w:after="60" w:line="264" w:lineRule="auto"/>
            </w:pPr>
            <w:r/>
            <w:r>
              <w:rPr>
                <w:b/>
                <w:i w:val="0"/>
                <w:color w:val="112345"/>
                <w:sz w:val="17"/>
              </w:rPr>
              <w:t>V22</w:t>
            </w:r>
          </w:p>
        </w:tc>
        <w:tc>
          <w:tcPr>
            <w:tcW w:type="dxa" w:w="4032"/>
            <w:shd w:val="clear" w:color="auto" w:fill="F3EFE6"/>
          </w:tcPr>
          <w:p>
            <w:pPr>
              <w:spacing w:before="60" w:after="60" w:line="264" w:lineRule="auto"/>
            </w:pPr>
            <w:r/>
            <w:r>
              <w:rPr>
                <w:b/>
                <w:i w:val="0"/>
                <w:color w:val="112345"/>
                <w:sz w:val="17"/>
              </w:rPr>
              <w:t>V23</w:t>
            </w:r>
          </w:p>
        </w:tc>
      </w:tr>
      <w:tr>
        <w:tc>
          <w:tcPr>
            <w:tcW w:type="dxa" w:w="1584"/>
          </w:tcPr>
          <w:p>
            <w:pPr>
              <w:spacing w:before="60" w:after="60" w:line="264" w:lineRule="auto"/>
            </w:pPr>
            <w:r/>
            <w:r>
              <w:rPr>
                <w:b w:val="0"/>
                <w:i w:val="0"/>
                <w:sz w:val="17"/>
              </w:rPr>
              <w:t>Title</w:t>
            </w:r>
          </w:p>
        </w:tc>
        <w:tc>
          <w:tcPr>
            <w:tcW w:type="dxa" w:w="4032"/>
          </w:tcPr>
          <w:p>
            <w:pPr>
              <w:spacing w:before="60" w:after="60" w:line="264" w:lineRule="auto"/>
            </w:pPr>
            <w:r/>
            <w:r>
              <w:rPr>
                <w:b w:val="0"/>
                <w:i w:val="0"/>
                <w:sz w:val="17"/>
              </w:rPr>
              <w:t>How to Decode a Job Description</w:t>
            </w:r>
          </w:p>
        </w:tc>
        <w:tc>
          <w:tcPr>
            <w:tcW w:type="dxa" w:w="4032"/>
          </w:tcPr>
          <w:p>
            <w:pPr>
              <w:spacing w:before="60" w:after="60" w:line="264" w:lineRule="auto"/>
            </w:pPr>
            <w:r/>
            <w:r>
              <w:rPr>
                <w:b w:val="0"/>
                <w:i w:val="0"/>
                <w:sz w:val="17"/>
              </w:rPr>
              <w:t>Turn One Accomplishment Into Career Proof</w:t>
            </w:r>
          </w:p>
        </w:tc>
      </w:tr>
      <w:tr>
        <w:tc>
          <w:tcPr>
            <w:tcW w:type="dxa" w:w="1584"/>
          </w:tcPr>
          <w:p>
            <w:pPr>
              <w:spacing w:before="60" w:after="60" w:line="264" w:lineRule="auto"/>
            </w:pPr>
            <w:r/>
            <w:r>
              <w:rPr>
                <w:b w:val="0"/>
                <w:i w:val="0"/>
                <w:sz w:val="17"/>
              </w:rPr>
              <w:t>Thumbnail</w:t>
            </w:r>
          </w:p>
        </w:tc>
        <w:tc>
          <w:tcPr>
            <w:tcW w:type="dxa" w:w="4032"/>
          </w:tcPr>
          <w:p>
            <w:pPr>
              <w:spacing w:before="60" w:after="60" w:line="264" w:lineRule="auto"/>
            </w:pPr>
            <w:r/>
            <w:r>
              <w:rPr>
                <w:b w:val="0"/>
                <w:i w:val="0"/>
                <w:sz w:val="17"/>
              </w:rPr>
              <w:t>IGNORE THE TITLE</w:t>
            </w:r>
          </w:p>
        </w:tc>
        <w:tc>
          <w:tcPr>
            <w:tcW w:type="dxa" w:w="4032"/>
          </w:tcPr>
          <w:p>
            <w:pPr>
              <w:spacing w:before="60" w:after="60" w:line="264" w:lineRule="auto"/>
            </w:pPr>
            <w:r/>
            <w:r>
              <w:rPr>
                <w:b w:val="0"/>
                <w:i w:val="0"/>
                <w:sz w:val="17"/>
              </w:rPr>
              <w:t>YOU DID IT. CAN YOU PROVE IT?</w:t>
            </w:r>
          </w:p>
        </w:tc>
      </w:tr>
      <w:tr>
        <w:tc>
          <w:tcPr>
            <w:tcW w:type="dxa" w:w="1584"/>
          </w:tcPr>
          <w:p>
            <w:pPr>
              <w:spacing w:before="60" w:after="60" w:line="264" w:lineRule="auto"/>
            </w:pPr>
            <w:r/>
            <w:r>
              <w:rPr>
                <w:b w:val="0"/>
                <w:i w:val="0"/>
                <w:sz w:val="17"/>
              </w:rPr>
              <w:t>Editorial job</w:t>
            </w:r>
          </w:p>
        </w:tc>
        <w:tc>
          <w:tcPr>
            <w:tcW w:type="dxa" w:w="4032"/>
          </w:tcPr>
          <w:p>
            <w:pPr>
              <w:spacing w:before="60" w:after="60" w:line="264" w:lineRule="auto"/>
            </w:pPr>
            <w:r/>
            <w:r>
              <w:rPr>
                <w:b w:val="0"/>
                <w:i w:val="0"/>
                <w:sz w:val="17"/>
              </w:rPr>
              <w:t>Read the destination more accurately</w:t>
            </w:r>
          </w:p>
        </w:tc>
        <w:tc>
          <w:tcPr>
            <w:tcW w:type="dxa" w:w="4032"/>
          </w:tcPr>
          <w:p>
            <w:pPr>
              <w:spacing w:before="60" w:after="60" w:line="264" w:lineRule="auto"/>
            </w:pPr>
            <w:r/>
            <w:r>
              <w:rPr>
                <w:b w:val="0"/>
                <w:i w:val="0"/>
                <w:sz w:val="17"/>
              </w:rPr>
              <w:t>Reconstruct your evidence more accurately</w:t>
            </w:r>
          </w:p>
        </w:tc>
      </w:tr>
      <w:tr>
        <w:tc>
          <w:tcPr>
            <w:tcW w:type="dxa" w:w="1584"/>
          </w:tcPr>
          <w:p>
            <w:pPr>
              <w:spacing w:before="60" w:after="60" w:line="264" w:lineRule="auto"/>
            </w:pPr>
            <w:r/>
            <w:r>
              <w:rPr>
                <w:b w:val="0"/>
                <w:i w:val="0"/>
                <w:sz w:val="17"/>
              </w:rPr>
              <w:t>Method</w:t>
            </w:r>
          </w:p>
        </w:tc>
        <w:tc>
          <w:tcPr>
            <w:tcW w:type="dxa" w:w="4032"/>
          </w:tcPr>
          <w:p>
            <w:pPr>
              <w:spacing w:before="60" w:after="60" w:line="264" w:lineRule="auto"/>
            </w:pPr>
            <w:r/>
            <w:r>
              <w:rPr>
                <w:b w:val="0"/>
                <w:i w:val="0"/>
                <w:sz w:val="17"/>
              </w:rPr>
              <w:t>Problem. Authority. Proof. Real gap.</w:t>
            </w:r>
          </w:p>
        </w:tc>
        <w:tc>
          <w:tcPr>
            <w:tcW w:type="dxa" w:w="4032"/>
          </w:tcPr>
          <w:p>
            <w:pPr>
              <w:spacing w:before="60" w:after="60" w:line="264" w:lineRule="auto"/>
            </w:pPr>
            <w:r/>
            <w:r>
              <w:rPr>
                <w:b w:val="0"/>
                <w:i w:val="0"/>
                <w:sz w:val="17"/>
              </w:rPr>
              <w:t>Problem before. What was mine to decide. Judgment. Proof and how I know.</w:t>
            </w:r>
          </w:p>
        </w:tc>
      </w:tr>
      <w:tr>
        <w:tc>
          <w:tcPr>
            <w:tcW w:type="dxa" w:w="1584"/>
          </w:tcPr>
          <w:p>
            <w:pPr>
              <w:spacing w:before="60" w:after="60" w:line="264" w:lineRule="auto"/>
            </w:pPr>
            <w:r/>
            <w:r>
              <w:rPr>
                <w:b w:val="0"/>
                <w:i w:val="0"/>
                <w:sz w:val="17"/>
              </w:rPr>
              <w:t>Spoken words</w:t>
            </w:r>
          </w:p>
        </w:tc>
        <w:tc>
          <w:tcPr>
            <w:tcW w:type="dxa" w:w="4032"/>
          </w:tcPr>
          <w:p>
            <w:pPr>
              <w:spacing w:before="60" w:after="60" w:line="264" w:lineRule="auto"/>
            </w:pPr>
            <w:r/>
            <w:r>
              <w:rPr>
                <w:b w:val="0"/>
                <w:i w:val="0"/>
                <w:sz w:val="17"/>
              </w:rPr>
              <w:t>1,345</w:t>
            </w:r>
          </w:p>
        </w:tc>
        <w:tc>
          <w:tcPr>
            <w:tcW w:type="dxa" w:w="4032"/>
          </w:tcPr>
          <w:p>
            <w:pPr>
              <w:spacing w:before="60" w:after="60" w:line="264" w:lineRule="auto"/>
            </w:pPr>
            <w:r/>
            <w:r>
              <w:rPr>
                <w:b w:val="0"/>
                <w:i w:val="0"/>
                <w:sz w:val="17"/>
              </w:rPr>
              <w:t>1,132</w:t>
            </w:r>
          </w:p>
        </w:tc>
      </w:tr>
      <w:tr>
        <w:tc>
          <w:tcPr>
            <w:tcW w:type="dxa" w:w="1584"/>
          </w:tcPr>
          <w:p>
            <w:pPr>
              <w:spacing w:before="60" w:after="60" w:line="264" w:lineRule="auto"/>
            </w:pPr>
            <w:r/>
            <w:r>
              <w:rPr>
                <w:b w:val="0"/>
                <w:i w:val="0"/>
                <w:sz w:val="17"/>
              </w:rPr>
              <w:t>CTA</w:t>
            </w:r>
          </w:p>
        </w:tc>
        <w:tc>
          <w:tcPr>
            <w:tcW w:type="dxa" w:w="4032"/>
          </w:tcPr>
          <w:p>
            <w:pPr>
              <w:spacing w:before="60" w:after="60" w:line="264" w:lineRule="auto"/>
            </w:pPr>
            <w:r/>
            <w:r>
              <w:rPr>
                <w:b w:val="0"/>
                <w:i w:val="0"/>
                <w:sz w:val="17"/>
              </w:rPr>
              <w:t>One ask. No product.</w:t>
            </w:r>
          </w:p>
        </w:tc>
        <w:tc>
          <w:tcPr>
            <w:tcW w:type="dxa" w:w="4032"/>
          </w:tcPr>
          <w:p>
            <w:pPr>
              <w:spacing w:before="60" w:after="60" w:line="264" w:lineRule="auto"/>
            </w:pPr>
            <w:r/>
            <w:r>
              <w:rPr>
                <w:b w:val="0"/>
                <w:i w:val="0"/>
                <w:sz w:val="17"/>
              </w:rPr>
              <w:t>One action and one resource.</w:t>
            </w:r>
          </w:p>
        </w:tc>
      </w:tr>
    </w:tbl>
    <w:p>
      <w:pPr>
        <w:spacing w:after="120"/>
      </w:pPr>
    </w:p>
    <w:p>
      <w:pPr>
        <w:spacing w:before="320" w:after="120"/>
        <w:keepNext w:val="1"/>
        <w:keepLines w:val="1"/>
      </w:pPr>
      <w:r>
        <w:rPr>
          <w:b/>
          <w:i w:val="0"/>
          <w:color w:val="112345"/>
          <w:sz w:val="26"/>
        </w:rPr>
        <w:t>WHAT WAS TAKEN FROM THE VISUAL REFERENCES</w:t>
      </w:r>
    </w:p>
    <w:p>
      <w:pPr>
        <w:spacing w:after="80" w:line="278" w:lineRule="auto"/>
        <w:ind w:left="547" w:hanging="230"/>
      </w:pPr>
      <w:r>
        <w:rPr>
          <w:sz w:val="21"/>
        </w:rPr>
        <w:t>•   A large artifact beside a narrow explainer panel, with the panel carrying only the idea being taught at that moment.</w:t>
      </w:r>
    </w:p>
    <w:p>
      <w:pPr>
        <w:spacing w:after="80" w:line="278" w:lineRule="auto"/>
        <w:ind w:left="547" w:hanging="230"/>
      </w:pPr>
      <w:r>
        <w:rPr>
          <w:sz w:val="21"/>
        </w:rPr>
        <w:t>•   Numbered teaching points revealed one at a time, warm when active and quiet when not.</w:t>
      </w:r>
    </w:p>
    <w:p>
      <w:pPr>
        <w:spacing w:after="80" w:line="278" w:lineRule="auto"/>
        <w:ind w:left="547" w:hanging="230"/>
      </w:pPr>
      <w:r>
        <w:rPr>
          <w:sz w:val="21"/>
        </w:rPr>
        <w:t>•   Side-by-side contrast used only where the contrast teaches.</w:t>
      </w:r>
    </w:p>
    <w:p>
      <w:pPr>
        <w:spacing w:after="80" w:line="278" w:lineRule="auto"/>
        <w:ind w:left="547" w:hanging="230"/>
      </w:pPr>
      <w:r>
        <w:rPr>
          <w:sz w:val="21"/>
        </w:rPr>
        <w:t>•   One active idea at a time, after the whole structure is established.</w:t>
      </w:r>
    </w:p>
    <w:p>
      <w:pPr>
        <w:spacing w:before="320" w:after="120"/>
        <w:keepNext w:val="1"/>
        <w:keepLines w:val="1"/>
      </w:pPr>
      <w:r>
        <w:rPr>
          <w:b/>
          <w:i w:val="0"/>
          <w:color w:val="112345"/>
          <w:sz w:val="26"/>
        </w:rPr>
        <w:t>WHAT WAS NOT TAKEN</w:t>
      </w:r>
    </w:p>
    <w:p>
      <w:pPr>
        <w:spacing w:after="80" w:line="278" w:lineRule="auto"/>
        <w:ind w:left="547" w:hanging="230"/>
      </w:pPr>
      <w:r>
        <w:rPr>
          <w:sz w:val="21"/>
        </w:rPr>
        <w:t>•   No branding, color system, product interface, icon set, layout or visual identity from the references.</w:t>
      </w:r>
    </w:p>
    <w:p>
      <w:pPr>
        <w:spacing w:after="80" w:line="278" w:lineRule="auto"/>
        <w:ind w:left="547" w:hanging="230"/>
      </w:pPr>
      <w:r>
        <w:rPr>
          <w:sz w:val="21"/>
        </w:rPr>
        <w:t>•   No fake buttons, progress bars, quiz interfaces or dashboards. The reveals are sequential because YouTube is not interactive.</w:t>
      </w:r>
    </w:p>
    <w:p>
      <w:pPr>
        <w:spacing w:before="320" w:after="120"/>
        <w:keepNext w:val="1"/>
        <w:keepLines w:val="1"/>
      </w:pPr>
      <w:r>
        <w:rPr>
          <w:b/>
          <w:i w:val="0"/>
          <w:color w:val="112345"/>
          <w:sz w:val="26"/>
        </w:rPr>
        <w:t>DECISIONS RECORDED RATHER THAN RESOLVED</w:t>
      </w:r>
    </w:p>
    <w:p>
      <w:pPr>
        <w:spacing w:after="80" w:line="278" w:lineRule="auto"/>
        <w:ind w:left="547" w:hanging="230"/>
      </w:pPr>
      <w:r>
        <w:rPr>
          <w:sz w:val="21"/>
        </w:rPr>
        <w:t>•   The capture packet quotes the pre-advisor draft under 'exact lines used in the script'. The updated 50CHAR script is the wording of record. The evidence in the packet, its presentation rules and its boundaries all still govern. Neither source was edited.</w:t>
      </w:r>
    </w:p>
    <w:p>
      <w:pPr>
        <w:spacing w:after="80" w:line="278" w:lineRule="auto"/>
        <w:ind w:left="547" w:hanging="230"/>
      </w:pPr>
      <w:r>
        <w:rPr>
          <w:sz w:val="21"/>
        </w:rPr>
        <w:t>•   The script describes several employers generically while the packet and the build brief require them named on camera. The spoken wording was left exactly as approved and the employer names appear on the artifact cards, which is the production layer doing the work.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SRT timing and thumbnail artwork are all decided after the final edit, not here.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