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 SHORT</w:t>
      </w:r>
    </w:p>
    <w:p>
      <w:pPr>
        <w:spacing w:before="0" w:after="80"/>
      </w:pPr>
      <w:r>
        <w:rPr>
          <w:b/>
          <w:i w:val="0"/>
          <w:color w:val="112345"/>
          <w:sz w:val="42"/>
        </w:rPr>
        <w:t>Director Did Not Tell You Enough</w:t>
      </w:r>
    </w:p>
    <w:p>
      <w:pPr>
        <w:spacing w:before="0" w:after="280"/>
      </w:pPr>
      <w:r>
        <w:rPr>
          <w:b w:val="0"/>
          <w:i w:val="0"/>
          <w:color w:val="5A6B82"/>
          <w:sz w:val="20"/>
        </w:rPr>
        <w:t>Candidate Short from How to Decode a Job Description</w:t>
      </w:r>
    </w:p>
    <w:p>
      <w:pPr>
        <w:spacing w:before="0" w:after="240"/>
        <w:pBdr>
          <w:bottom w:val="single" w:sz="6" w:color="8A6D1E"/>
        </w:pBdr>
      </w:pPr>
    </w:p>
    <w:p>
      <w:pPr>
        <w:spacing w:after="80"/>
      </w:pPr>
      <w:r>
        <w:rPr>
          <w:b/>
          <w:color w:val="8A6D1E"/>
          <w:sz w:val="20"/>
        </w:rPr>
        <w:t xml:space="preserve">Generated  </w:t>
      </w:r>
      <w:r>
        <w:rPr>
          <w:sz w:val="21"/>
        </w:rPr>
        <w:t>Sunday, September 13, 2026 | 4:33 PM CT</w:t>
      </w:r>
    </w:p>
    <w:p>
      <w:pPr>
        <w:spacing w:before="320" w:after="120"/>
        <w:keepNext w:val="1"/>
        <w:keepLines w:val="1"/>
      </w:pPr>
      <w:r>
        <w:rPr>
          <w:b/>
          <w:i w:val="0"/>
          <w:color w:val="112345"/>
          <w:sz w:val="26"/>
        </w:rPr>
        <w:t>DIRECTOR DID NOT TELL YOU ENOUGH</w:t>
      </w:r>
    </w:p>
    <w:p>
      <w:pPr>
        <w:spacing w:after="80"/>
      </w:pPr>
      <w:r>
        <w:rPr>
          <w:b/>
          <w:color w:val="8A6D1E"/>
          <w:sz w:val="20"/>
        </w:rPr>
        <w:t xml:space="preserve">Stop scroll  </w:t>
      </w:r>
      <w:r>
        <w:rPr>
          <w:sz w:val="21"/>
        </w:rPr>
        <w:t>Stop scroll: same title word</w:t>
      </w:r>
    </w:p>
    <w:p>
      <w:pPr>
        <w:spacing w:after="80"/>
      </w:pPr>
      <w:r>
        <w:rPr>
          <w:b/>
          <w:color w:val="8A6D1E"/>
          <w:sz w:val="20"/>
        </w:rPr>
        <w:t xml:space="preserve">Length  </w:t>
      </w:r>
      <w:r>
        <w:rPr>
          <w:sz w:val="21"/>
        </w:rPr>
        <w:t>117 words, about 0:43 at 165 words per minute</w:t>
      </w:r>
    </w:p>
    <w:p>
      <w:pPr>
        <w:spacing w:before="200" w:after="60"/>
        <w:keepNext w:val="1"/>
        <w:keepLines w:val="1"/>
      </w:pPr>
      <w:r>
        <w:rPr>
          <w:b/>
          <w:i w:val="0"/>
          <w:color w:val="8A6D1E"/>
          <w:sz w:val="17"/>
        </w:rPr>
        <w:t>SPOKEN</w:t>
      </w:r>
    </w:p>
    <w:p>
      <w:pPr>
        <w:spacing w:before="0" w:after="220" w:line="322" w:lineRule="auto"/>
      </w:pPr>
      <w:r>
        <w:rPr>
          <w:sz w:val="25"/>
        </w:rPr>
        <w:t>Now let me remove the easiest excuse. These next two roles have the same title word: Director.</w:t>
      </w:r>
    </w:p>
    <w:p>
      <w:pPr>
        <w:spacing w:before="0" w:after="220" w:line="322" w:lineRule="auto"/>
      </w:pPr>
      <w:r>
        <w:rPr>
          <w:sz w:val="25"/>
        </w:rPr>
        <w:t>One is Director, Talent Management at a marketing technology company. Five to seven years required.</w:t>
      </w:r>
    </w:p>
    <w:p>
      <w:pPr>
        <w:spacing w:before="0" w:after="220" w:line="322" w:lineRule="auto"/>
      </w:pPr>
      <w:r>
        <w:rPr>
          <w:sz w:val="25"/>
        </w:rPr>
        <w:t>The other is Director of Strategic Initiatives at an insurance brokerage. Five or more years required.</w:t>
      </w:r>
    </w:p>
    <w:p>
      <w:pPr>
        <w:spacing w:before="0" w:after="220" w:line="322" w:lineRule="auto"/>
      </w:pPr>
      <w:r>
        <w:rPr>
          <w:sz w:val="25"/>
        </w:rPr>
        <w:t>The compensation floors are about sixty-five thousand dollars apart.</w:t>
      </w:r>
    </w:p>
    <w:p>
      <w:pPr>
        <w:spacing w:before="0" w:after="220" w:line="322" w:lineRule="auto"/>
      </w:pPr>
      <w:r>
        <w:rPr>
          <w:sz w:val="25"/>
        </w:rPr>
        <w:t>And I want to be precise here. That does not tell you which person is “more senior” in some universal sense. It tells you what these two employers will pay for these two jobs.</w:t>
      </w:r>
    </w:p>
    <w:p>
      <w:pPr>
        <w:spacing w:before="0" w:after="220" w:line="322" w:lineRule="auto"/>
      </w:pPr>
      <w:r>
        <w:rPr>
          <w:sz w:val="25"/>
        </w:rPr>
        <w:t>The useful lesson is simpler: Director did not tell you enough. You had to read the rest.</w:t>
      </w:r>
    </w:p>
    <w:p>
      <w:pPr>
        <w:spacing w:before="200" w:after="60"/>
        <w:keepNext w:val="1"/>
        <w:keepLines w:val="1"/>
      </w:pPr>
      <w:r>
        <w:rPr>
          <w:b/>
          <w:i w:val="0"/>
          <w:color w:val="8A6D1E"/>
          <w:sz w:val="17"/>
        </w:rPr>
        <w:t>ONE ASK</w:t>
      </w:r>
    </w:p>
    <w:p>
      <w:pPr>
        <w:spacing w:before="0" w:after="220" w:line="322" w:lineRule="auto"/>
      </w:pPr>
      <w:r>
        <w:rPr>
          <w:sz w:val="25"/>
        </w:rPr>
        <w:t>Read the rest of the posting, not the title.</w:t>
      </w:r>
    </w:p>
    <w:p>
      <w:pPr>
        <w:spacing w:before="200" w:after="60"/>
        <w:keepNext w:val="1"/>
        <w:keepLines w:val="1"/>
      </w:pPr>
      <w:r>
        <w:rPr>
          <w:b/>
          <w:i w:val="0"/>
          <w:color w:val="8A6D1E"/>
          <w:sz w:val="17"/>
        </w:rPr>
        <w:t>BOUNDARY THAT TRAVELS WITH THIS SHORT</w:t>
      </w:r>
    </w:p>
    <w:p>
      <w:pPr>
        <w:spacing w:before="0" w:after="160"/>
      </w:pPr>
      <w:r>
        <w:rPr>
          <w:b w:val="0"/>
          <w:i w:val="0"/>
          <w:sz w:val="21"/>
        </w:rPr>
        <w:t>The compensation difference applies to these two jobs at these two employers. It is not a rule about Directors.</w:t>
      </w:r>
    </w:p>
    <w:p>
      <w:pPr>
        <w:spacing w:before="200" w:after="60"/>
        <w:keepNext w:val="1"/>
        <w:keepLines w:val="1"/>
      </w:pPr>
      <w:r>
        <w:rPr>
          <w:b/>
          <w:i w:val="0"/>
          <w:color w:val="8A6D1E"/>
          <w:sz w:val="17"/>
        </w:rPr>
        <w:t>EDITOR NOTE</w:t>
      </w:r>
    </w:p>
    <w:p>
      <w:pPr>
        <w:spacing w:before="0" w:after="160"/>
      </w:pPr>
      <w:r>
        <w:rPr>
          <w:b w:val="0"/>
          <w:i w:val="0"/>
          <w:sz w:val="21"/>
        </w:rPr>
        <w:t>The boundary card must follow the money reveal immediately, inside the Short. Do not cut the Short before it.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Vertical. No burned-in caption decision is made here; Shorts captions are set at upload.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