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V22</w:t>
      </w:r>
    </w:p>
    <w:p>
      <w:pPr>
        <w:spacing w:before="0" w:after="80"/>
      </w:pPr>
      <w:r>
        <w:rPr>
          <w:b/>
          <w:i w:val="0"/>
          <w:color w:val="112345"/>
          <w:sz w:val="42"/>
        </w:rPr>
        <w:t>How to Decode a Job Description</w:t>
      </w:r>
    </w:p>
    <w:p>
      <w:pPr>
        <w:spacing w:before="0" w:after="280"/>
      </w:pPr>
      <w:r>
        <w:rPr>
          <w:b w:val="0"/>
          <w:i w:val="0"/>
          <w:color w:val="5A6B82"/>
          <w:sz w:val="20"/>
        </w:rPr>
        <w:t>Claim-boundary notes</w:t>
      </w:r>
    </w:p>
    <w:p>
      <w:pPr>
        <w:spacing w:before="0" w:after="240"/>
        <w:pBdr>
          <w:bottom w:val="single" w:sz="6" w:color="8A6D1E"/>
        </w:pBdr>
      </w:pPr>
    </w:p>
    <w:p>
      <w:pPr>
        <w:spacing w:after="80"/>
      </w:pPr>
      <w:r>
        <w:rPr>
          <w:b/>
          <w:color w:val="8A6D1E"/>
          <w:sz w:val="20"/>
        </w:rPr>
        <w:t xml:space="preserve">Generated  </w:t>
      </w:r>
      <w:r>
        <w:rPr>
          <w:sz w:val="21"/>
        </w:rPr>
        <w:t>Sunday, September 13, 2026 | 4:33 PM CT</w:t>
      </w:r>
    </w:p>
    <w:p>
      <w:pPr>
        <w:spacing w:before="0" w:after="160"/>
      </w:pPr>
      <w:r>
        <w:rPr>
          <w:b w:val="0"/>
          <w:i w:val="0"/>
          <w:sz w:val="22"/>
        </w:rPr>
        <w:t>Each row is a claim the video makes and the limit that travels with it. A boundary is not a disclaimer to be cut for pace: in both videos it is part of the teaching.</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160"/>
            <w:shd w:val="clear" w:color="auto" w:fill="F3EFE6"/>
          </w:tcPr>
          <w:p>
            <w:pPr>
              <w:spacing w:before="60" w:after="60" w:line="264" w:lineRule="auto"/>
            </w:pPr>
            <w:r/>
            <w:r>
              <w:rPr>
                <w:b/>
                <w:i w:val="0"/>
                <w:color w:val="112345"/>
                <w:sz w:val="17"/>
              </w:rPr>
              <w:t>WHAT IS CLAIMED</w:t>
            </w:r>
          </w:p>
        </w:tc>
        <w:tc>
          <w:tcPr>
            <w:tcW w:type="dxa" w:w="3168"/>
            <w:shd w:val="clear" w:color="auto" w:fill="F3EFE6"/>
          </w:tcPr>
          <w:p>
            <w:pPr>
              <w:spacing w:before="60" w:after="60" w:line="264" w:lineRule="auto"/>
            </w:pPr>
            <w:r/>
            <w:r>
              <w:rPr>
                <w:b/>
                <w:i w:val="0"/>
                <w:color w:val="112345"/>
                <w:sz w:val="17"/>
              </w:rPr>
              <w:t>EXACTLY</w:t>
            </w:r>
          </w:p>
        </w:tc>
        <w:tc>
          <w:tcPr>
            <w:tcW w:type="dxa" w:w="4320"/>
            <w:shd w:val="clear" w:color="auto" w:fill="F3EFE6"/>
          </w:tcPr>
          <w:p>
            <w:pPr>
              <w:spacing w:before="60" w:after="60" w:line="264" w:lineRule="auto"/>
            </w:pPr>
            <w:r/>
            <w:r>
              <w:rPr>
                <w:b/>
                <w:i w:val="0"/>
                <w:color w:val="112345"/>
                <w:sz w:val="17"/>
              </w:rPr>
              <w:t>THE LIMIT</w:t>
            </w:r>
          </w:p>
        </w:tc>
      </w:tr>
      <w:tr>
        <w:tc>
          <w:tcPr>
            <w:tcW w:type="dxa" w:w="2160"/>
          </w:tcPr>
          <w:p>
            <w:pPr>
              <w:spacing w:before="60" w:after="60" w:line="264" w:lineRule="auto"/>
            </w:pPr>
            <w:r/>
            <w:r>
              <w:rPr>
                <w:b w:val="0"/>
                <w:i w:val="0"/>
                <w:sz w:val="17"/>
              </w:rPr>
              <w:t>The sample</w:t>
            </w:r>
          </w:p>
        </w:tc>
        <w:tc>
          <w:tcPr>
            <w:tcW w:type="dxa" w:w="3168"/>
          </w:tcPr>
          <w:p>
            <w:pPr>
              <w:spacing w:before="60" w:after="60" w:line="264" w:lineRule="auto"/>
            </w:pPr>
            <w:r/>
            <w:r>
              <w:rPr>
                <w:b w:val="0"/>
                <w:i w:val="0"/>
                <w:sz w:val="17"/>
              </w:rPr>
              <w:t>Fifteen postings from eleven employers, read in September 2026.</w:t>
            </w:r>
          </w:p>
        </w:tc>
        <w:tc>
          <w:tcPr>
            <w:tcW w:type="dxa" w:w="4320"/>
          </w:tcPr>
          <w:p>
            <w:pPr>
              <w:spacing w:before="60" w:after="60" w:line="264" w:lineRule="auto"/>
            </w:pPr>
            <w:r/>
            <w:r>
              <w:rPr>
                <w:b w:val="0"/>
                <w:i w:val="0"/>
                <w:sz w:val="17"/>
              </w:rPr>
              <w:t>Never: representative of the labor market, how all employers write roles, that titles are meaningless, or that titles never matter.</w:t>
            </w:r>
          </w:p>
        </w:tc>
      </w:tr>
      <w:tr>
        <w:tc>
          <w:tcPr>
            <w:tcW w:type="dxa" w:w="2160"/>
          </w:tcPr>
          <w:p>
            <w:pPr>
              <w:spacing w:before="60" w:after="60" w:line="264" w:lineRule="auto"/>
            </w:pPr>
            <w:r/>
            <w:r>
              <w:rPr>
                <w:b w:val="0"/>
                <w:i w:val="0"/>
                <w:sz w:val="17"/>
              </w:rPr>
              <w:t>The ceiling claim</w:t>
            </w:r>
          </w:p>
        </w:tc>
        <w:tc>
          <w:tcPr>
            <w:tcW w:type="dxa" w:w="3168"/>
          </w:tcPr>
          <w:p>
            <w:pPr>
              <w:spacing w:before="60" w:after="60" w:line="264" w:lineRule="auto"/>
            </w:pPr>
            <w:r/>
            <w:r>
              <w:rPr>
                <w:b w:val="0"/>
                <w:i w:val="0"/>
                <w:sz w:val="17"/>
              </w:rPr>
              <w:t>Highest published ceiling in this sample.</w:t>
            </w:r>
          </w:p>
        </w:tc>
        <w:tc>
          <w:tcPr>
            <w:tcW w:type="dxa" w:w="4320"/>
          </w:tcPr>
          <w:p>
            <w:pPr>
              <w:spacing w:before="60" w:after="60" w:line="264" w:lineRule="auto"/>
            </w:pPr>
            <w:r/>
            <w:r>
              <w:rPr>
                <w:b w:val="0"/>
                <w:i w:val="0"/>
                <w:sz w:val="17"/>
              </w:rPr>
              <w:t>Never: highest in the market. The words in this sample stay on screen with the figure.</w:t>
            </w:r>
          </w:p>
        </w:tc>
      </w:tr>
      <w:tr>
        <w:tc>
          <w:tcPr>
            <w:tcW w:type="dxa" w:w="2160"/>
          </w:tcPr>
          <w:p>
            <w:pPr>
              <w:spacing w:before="60" w:after="60" w:line="264" w:lineRule="auto"/>
            </w:pPr>
            <w:r/>
            <w:r>
              <w:rPr>
                <w:b w:val="0"/>
                <w:i w:val="0"/>
                <w:sz w:val="17"/>
              </w:rPr>
              <w:t>The Director pair</w:t>
            </w:r>
          </w:p>
        </w:tc>
        <w:tc>
          <w:tcPr>
            <w:tcW w:type="dxa" w:w="3168"/>
          </w:tcPr>
          <w:p>
            <w:pPr>
              <w:spacing w:before="60" w:after="60" w:line="264" w:lineRule="auto"/>
            </w:pPr>
            <w:r/>
            <w:r>
              <w:rPr>
                <w:b w:val="0"/>
                <w:i w:val="0"/>
                <w:sz w:val="17"/>
              </w:rPr>
              <w:t>About $65,000 between these two floors.</w:t>
            </w:r>
          </w:p>
        </w:tc>
        <w:tc>
          <w:tcPr>
            <w:tcW w:type="dxa" w:w="4320"/>
          </w:tcPr>
          <w:p>
            <w:pPr>
              <w:spacing w:before="60" w:after="60" w:line="264" w:lineRule="auto"/>
            </w:pPr>
            <w:r/>
            <w:r>
              <w:rPr>
                <w:b w:val="0"/>
                <w:i w:val="0"/>
                <w:sz w:val="17"/>
              </w:rPr>
              <w:t>Applies only to these two jobs from these two employers. It does not prove who is more senior, and the boundary card follows the reveal immediately.</w:t>
            </w:r>
          </w:p>
        </w:tc>
      </w:tr>
      <w:tr>
        <w:tc>
          <w:tcPr>
            <w:tcW w:type="dxa" w:w="2160"/>
          </w:tcPr>
          <w:p>
            <w:pPr>
              <w:spacing w:before="60" w:after="60" w:line="264" w:lineRule="auto"/>
            </w:pPr>
            <w:r/>
            <w:r>
              <w:rPr>
                <w:b w:val="0"/>
                <w:i w:val="0"/>
                <w:sz w:val="17"/>
              </w:rPr>
              <w:t>Execution</w:t>
            </w:r>
          </w:p>
        </w:tc>
        <w:tc>
          <w:tcPr>
            <w:tcW w:type="dxa" w:w="3168"/>
          </w:tcPr>
          <w:p>
            <w:pPr>
              <w:spacing w:before="60" w:after="60" w:line="264" w:lineRule="auto"/>
            </w:pPr>
            <w:r/>
            <w:r>
              <w:rPr>
                <w:b w:val="0"/>
                <w:i w:val="0"/>
                <w:sz w:val="17"/>
              </w:rPr>
              <w:t>A quarter-million-dollar Director role described in execution language.</w:t>
            </w:r>
          </w:p>
        </w:tc>
        <w:tc>
          <w:tcPr>
            <w:tcW w:type="dxa" w:w="4320"/>
          </w:tcPr>
          <w:p>
            <w:pPr>
              <w:spacing w:before="60" w:after="60" w:line="264" w:lineRule="auto"/>
            </w:pPr>
            <w:r/>
            <w:r>
              <w:rPr>
                <w:b w:val="0"/>
                <w:i w:val="0"/>
                <w:sz w:val="17"/>
              </w:rPr>
              <w:t>The script defends the role and the video must too. Making the right call under pressure is hard. Nothing visually mocks the role, and nothing claims another person wrote the predefined decisions.</w:t>
            </w:r>
          </w:p>
        </w:tc>
      </w:tr>
      <w:tr>
        <w:tc>
          <w:tcPr>
            <w:tcW w:type="dxa" w:w="2160"/>
          </w:tcPr>
          <w:p>
            <w:pPr>
              <w:spacing w:before="60" w:after="60" w:line="264" w:lineRule="auto"/>
            </w:pPr>
            <w:r/>
            <w:r>
              <w:rPr>
                <w:b w:val="0"/>
                <w:i w:val="0"/>
                <w:sz w:val="17"/>
              </w:rPr>
              <w:t>The real gap</w:t>
            </w:r>
          </w:p>
        </w:tc>
        <w:tc>
          <w:tcPr>
            <w:tcW w:type="dxa" w:w="3168"/>
          </w:tcPr>
          <w:p>
            <w:pPr>
              <w:spacing w:before="60" w:after="60" w:line="264" w:lineRule="auto"/>
            </w:pPr>
            <w:r/>
            <w:r>
              <w:rPr>
                <w:b w:val="0"/>
                <w:i w:val="0"/>
                <w:sz w:val="17"/>
              </w:rPr>
              <w:t>A gap is not always a credential.</w:t>
            </w:r>
          </w:p>
        </w:tc>
        <w:tc>
          <w:tcPr>
            <w:tcW w:type="dxa" w:w="4320"/>
          </w:tcPr>
          <w:p>
            <w:pPr>
              <w:spacing w:before="60" w:after="60" w:line="264" w:lineRule="auto"/>
            </w:pPr>
            <w:r/>
            <w:r>
              <w:rPr>
                <w:b w:val="0"/>
                <w:i w:val="0"/>
                <w:sz w:val="17"/>
              </w:rPr>
              <w:t>The geographic and time-zone constraints are stated in one posting. The 7 or 8 a.m. implication is for someone on Central Time and is never universalized.</w:t>
            </w:r>
          </w:p>
        </w:tc>
      </w:tr>
      <w:tr>
        <w:tc>
          <w:tcPr>
            <w:tcW w:type="dxa" w:w="2160"/>
          </w:tcPr>
          <w:p>
            <w:pPr>
              <w:spacing w:before="60" w:after="60" w:line="264" w:lineRule="auto"/>
            </w:pPr>
            <w:r/>
            <w:r>
              <w:rPr>
                <w:b w:val="0"/>
                <w:i w:val="0"/>
                <w:sz w:val="17"/>
              </w:rPr>
              <w:t>What the method does</w:t>
            </w:r>
          </w:p>
        </w:tc>
        <w:tc>
          <w:tcPr>
            <w:tcW w:type="dxa" w:w="3168"/>
          </w:tcPr>
          <w:p>
            <w:pPr>
              <w:spacing w:before="60" w:after="60" w:line="264" w:lineRule="auto"/>
            </w:pPr>
            <w:r/>
            <w:r>
              <w:rPr>
                <w:b w:val="0"/>
                <w:i w:val="0"/>
                <w:sz w:val="17"/>
              </w:rPr>
              <w:t>It improves your aim, not your odds.</w:t>
            </w:r>
          </w:p>
        </w:tc>
        <w:tc>
          <w:tcPr>
            <w:tcW w:type="dxa" w:w="4320"/>
          </w:tcPr>
          <w:p>
            <w:pPr>
              <w:spacing w:before="60" w:after="60" w:line="264" w:lineRule="auto"/>
            </w:pPr>
            <w:r/>
            <w:r>
              <w:rPr>
                <w:b w:val="0"/>
                <w:i w:val="0"/>
                <w:sz w:val="17"/>
              </w:rPr>
              <w:t>The script says reading the posting better does not improve your odds by itself. That sentence is not cut, softened or moved.</w:t>
            </w:r>
          </w:p>
        </w:tc>
      </w:tr>
    </w:tbl>
    <w:p>
      <w:pPr>
        <w:spacing w:after="120"/>
      </w:pPr>
    </w:p>
    <w:p>
      <w:pPr>
        <w:spacing w:before="320" w:after="120"/>
        <w:keepNext w:val="1"/>
        <w:keepLines w:val="1"/>
      </w:pPr>
      <w:r>
        <w:rPr>
          <w:b/>
          <w:i w:val="0"/>
          <w:color w:val="112345"/>
          <w:sz w:val="26"/>
        </w:rPr>
        <w:t>NEVER, IN EITHER VIDEO</w:t>
      </w:r>
    </w:p>
    <w:p>
      <w:pPr>
        <w:spacing w:after="80" w:line="278" w:lineRule="auto"/>
        <w:ind w:left="547" w:hanging="230"/>
      </w:pPr>
      <w:r>
        <w:rPr>
          <w:sz w:val="21"/>
        </w:rPr>
        <w:t>•   That better wording can talk someone around a real requirement.</w:t>
      </w:r>
    </w:p>
    <w:p>
      <w:pPr>
        <w:spacing w:after="80" w:line="278" w:lineRule="auto"/>
        <w:ind w:left="547" w:hanging="230"/>
      </w:pPr>
      <w:r>
        <w:rPr>
          <w:sz w:val="21"/>
        </w:rPr>
        <w:t>•   That all prior experience transfers.</w:t>
      </w:r>
    </w:p>
    <w:p>
      <w:pPr>
        <w:spacing w:after="80" w:line="278" w:lineRule="auto"/>
        <w:ind w:left="547" w:hanging="230"/>
      </w:pPr>
      <w:r>
        <w:rPr>
          <w:sz w:val="21"/>
        </w:rPr>
        <w:t>•   That credentials, regulation, domain knowledge, geography, time-zone requirements, employer constraints, market conditions, compensation realities, relationships or bias can be reframed away.</w:t>
      </w:r>
    </w:p>
    <w:p>
      <w:pPr>
        <w:spacing w:after="80" w:line="278" w:lineRule="auto"/>
        <w:ind w:left="547" w:hanging="230"/>
      </w:pPr>
      <w:r>
        <w:rPr>
          <w:sz w:val="21"/>
        </w:rPr>
        <w:t>•   No invented employer intent, market conclusion or personal experience.</w:t>
      </w:r>
    </w:p>
    <w:p>
      <w:pPr>
        <w:spacing w:after="80" w:line="278" w:lineRule="auto"/>
        <w:ind w:left="547" w:hanging="230"/>
      </w:pPr>
      <w:r>
        <w:rPr>
          <w:sz w:val="21"/>
        </w:rPr>
        <w:t>•   No invented outcome, measured runtime or public URL.</w:t>
      </w:r>
    </w:p>
    <w:p>
      <w:pPr>
        <w:spacing w:after="80" w:line="278" w:lineRule="auto"/>
        <w:ind w:left="547" w:hanging="230"/>
      </w:pPr>
      <w:r>
        <w:rPr>
          <w:sz w:val="21"/>
        </w:rPr>
        <w:t>•   No chapters and no SRT timing before the final edit. No thumbnail artwork in this package.</w:t>
      </w:r>
    </w:p>
    <w:p>
      <w:pPr>
        <w:spacing w:after="80" w:line="278" w:lineRule="auto"/>
        <w:ind w:left="547" w:hanging="230"/>
      </w:pPr>
      <w:r>
        <w:rPr>
          <w:sz w:val="21"/>
        </w:rPr>
        <w:t>•   No music license is chosen and no performance result is claimed.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