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How to Decode a Job Description</w:t>
      </w:r>
    </w:p>
    <w:p>
      <w:pPr>
        <w:spacing w:before="0" w:after="280"/>
      </w:pPr>
      <w:r>
        <w:rPr>
          <w:b w:val="0"/>
          <w:i w:val="0"/>
          <w:color w:val="5A6B82"/>
          <w:sz w:val="20"/>
        </w:rPr>
        <w:t>Source and evidence notes</w:t>
      </w:r>
    </w:p>
    <w:p>
      <w:pPr>
        <w:spacing w:before="0" w:after="240"/>
        <w:pBdr>
          <w:bottom w:val="single" w:sz="6" w:color="8A6D1E"/>
        </w:pBdr>
      </w:pPr>
    </w:p>
    <w:p>
      <w:pPr>
        <w:spacing w:after="80"/>
      </w:pPr>
      <w:r>
        <w:rPr>
          <w:b/>
          <w:color w:val="8A6D1E"/>
          <w:sz w:val="20"/>
        </w:rPr>
        <w:t xml:space="preserve">Capture date  </w:t>
      </w:r>
      <w:r>
        <w:rPr>
          <w:sz w:val="21"/>
        </w:rPr>
        <w:t>September 12, 2026</w:t>
      </w:r>
    </w:p>
    <w:p>
      <w:pPr>
        <w:spacing w:after="80"/>
      </w:pPr>
      <w:r>
        <w:rPr>
          <w:b/>
          <w:color w:val="8A6D1E"/>
          <w:sz w:val="20"/>
        </w:rPr>
        <w:t xml:space="preserve">Authority  </w:t>
      </w:r>
      <w:r>
        <w:rPr>
          <w:sz w:val="21"/>
        </w:rPr>
        <w:t>Internal Source Capture Packet</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The URL is not the asset. Every production visual is built from the preserved text in the capture packet, never from a page reopened on shoot day. Where a URL appears in frame, the visual carries CAPTURED SEPTEMBER 12, 2026.</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REF</w:t>
            </w:r>
          </w:p>
        </w:tc>
        <w:tc>
          <w:tcPr>
            <w:tcW w:type="dxa" w:w="2736"/>
            <w:shd w:val="clear" w:color="auto" w:fill="F3EFE6"/>
          </w:tcPr>
          <w:p>
            <w:pPr>
              <w:spacing w:before="60" w:after="60" w:line="264" w:lineRule="auto"/>
            </w:pPr>
            <w:r/>
            <w:r>
              <w:rPr>
                <w:b/>
                <w:i w:val="0"/>
                <w:color w:val="112345"/>
                <w:sz w:val="17"/>
              </w:rPr>
              <w:t>EMPLOYER</w:t>
            </w:r>
          </w:p>
        </w:tc>
        <w:tc>
          <w:tcPr>
            <w:tcW w:type="dxa" w:w="3600"/>
            <w:shd w:val="clear" w:color="auto" w:fill="F3EFE6"/>
          </w:tcPr>
          <w:p>
            <w:pPr>
              <w:spacing w:before="60" w:after="60" w:line="264" w:lineRule="auto"/>
            </w:pPr>
            <w:r/>
            <w:r>
              <w:rPr>
                <w:b/>
                <w:i w:val="0"/>
                <w:color w:val="112345"/>
                <w:sz w:val="17"/>
              </w:rPr>
              <w:t>EXACT TITLE</w:t>
            </w:r>
          </w:p>
        </w:tc>
        <w:tc>
          <w:tcPr>
            <w:tcW w:type="dxa" w:w="2592"/>
            <w:shd w:val="clear" w:color="auto" w:fill="F3EFE6"/>
          </w:tcPr>
          <w:p>
            <w:pPr>
              <w:spacing w:before="60" w:after="60" w:line="264" w:lineRule="auto"/>
            </w:pPr>
            <w:r/>
            <w:r>
              <w:rPr>
                <w:b/>
                <w:i w:val="0"/>
                <w:color w:val="112345"/>
                <w:sz w:val="17"/>
              </w:rPr>
              <w:t>PUBLISHED COMPENSATION</w:t>
            </w:r>
          </w:p>
        </w:tc>
      </w:tr>
      <w:tr>
        <w:tc>
          <w:tcPr>
            <w:tcW w:type="dxa" w:w="720"/>
          </w:tcPr>
          <w:p>
            <w:pPr>
              <w:spacing w:before="60" w:after="60" w:line="264" w:lineRule="auto"/>
            </w:pPr>
            <w:r/>
            <w:r>
              <w:rPr>
                <w:b w:val="0"/>
                <w:i w:val="0"/>
                <w:sz w:val="17"/>
              </w:rPr>
              <w:t>A1</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Sr Divisional Strategy Consultant, Governance</w:t>
            </w:r>
          </w:p>
        </w:tc>
        <w:tc>
          <w:tcPr>
            <w:tcW w:type="dxa" w:w="2592"/>
          </w:tcPr>
          <w:p>
            <w:pPr>
              <w:spacing w:before="60" w:after="60" w:line="264" w:lineRule="auto"/>
            </w:pPr>
            <w:r/>
            <w:r>
              <w:rPr>
                <w:b w:val="0"/>
                <w:i w:val="0"/>
                <w:sz w:val="17"/>
              </w:rPr>
              <w:t>$61,500 to $136,100</w:t>
            </w:r>
          </w:p>
        </w:tc>
      </w:tr>
      <w:tr>
        <w:tc>
          <w:tcPr>
            <w:tcW w:type="dxa" w:w="720"/>
          </w:tcPr>
          <w:p>
            <w:pPr>
              <w:spacing w:before="60" w:after="60" w:line="264" w:lineRule="auto"/>
            </w:pPr>
            <w:r/>
            <w:r>
              <w:rPr>
                <w:b w:val="0"/>
                <w:i w:val="0"/>
                <w:sz w:val="17"/>
              </w:rPr>
              <w:t>A2</w:t>
            </w:r>
          </w:p>
        </w:tc>
        <w:tc>
          <w:tcPr>
            <w:tcW w:type="dxa" w:w="2736"/>
          </w:tcPr>
          <w:p>
            <w:pPr>
              <w:spacing w:before="60" w:after="60" w:line="264" w:lineRule="auto"/>
            </w:pPr>
            <w:r/>
            <w:r>
              <w:rPr>
                <w:b w:val="0"/>
                <w:i w:val="0"/>
                <w:sz w:val="17"/>
              </w:rPr>
              <w:t>Health Care Service Corporation</w:t>
            </w:r>
          </w:p>
        </w:tc>
        <w:tc>
          <w:tcPr>
            <w:tcW w:type="dxa" w:w="3600"/>
          </w:tcPr>
          <w:p>
            <w:pPr>
              <w:spacing w:before="60" w:after="60" w:line="264" w:lineRule="auto"/>
            </w:pPr>
            <w:r/>
            <w:r>
              <w:rPr>
                <w:b w:val="0"/>
                <w:i w:val="0"/>
                <w:sz w:val="17"/>
              </w:rPr>
              <w:t>Director of Enterprise Resilience</w:t>
            </w:r>
          </w:p>
        </w:tc>
        <w:tc>
          <w:tcPr>
            <w:tcW w:type="dxa" w:w="2592"/>
          </w:tcPr>
          <w:p>
            <w:pPr>
              <w:spacing w:before="60" w:after="60" w:line="264" w:lineRule="auto"/>
            </w:pPr>
            <w:r/>
            <w:r>
              <w:rPr>
                <w:b w:val="0"/>
                <w:i w:val="0"/>
                <w:sz w:val="17"/>
              </w:rPr>
              <w:t>$133,400 to $247,700</w:t>
            </w:r>
          </w:p>
        </w:tc>
      </w:tr>
      <w:tr>
        <w:tc>
          <w:tcPr>
            <w:tcW w:type="dxa" w:w="720"/>
          </w:tcPr>
          <w:p>
            <w:pPr>
              <w:spacing w:before="60" w:after="60" w:line="264" w:lineRule="auto"/>
            </w:pPr>
            <w:r/>
            <w:r>
              <w:rPr>
                <w:b w:val="0"/>
                <w:i w:val="0"/>
                <w:sz w:val="17"/>
              </w:rPr>
              <w:t>A3</w:t>
            </w:r>
          </w:p>
        </w:tc>
        <w:tc>
          <w:tcPr>
            <w:tcW w:type="dxa" w:w="2736"/>
          </w:tcPr>
          <w:p>
            <w:pPr>
              <w:spacing w:before="60" w:after="60" w:line="264" w:lineRule="auto"/>
            </w:pPr>
            <w:r/>
            <w:r>
              <w:rPr>
                <w:b w:val="0"/>
                <w:i w:val="0"/>
                <w:sz w:val="17"/>
              </w:rPr>
              <w:t>Zeta Global</w:t>
            </w:r>
          </w:p>
        </w:tc>
        <w:tc>
          <w:tcPr>
            <w:tcW w:type="dxa" w:w="3600"/>
          </w:tcPr>
          <w:p>
            <w:pPr>
              <w:spacing w:before="60" w:after="60" w:line="264" w:lineRule="auto"/>
            </w:pPr>
            <w:r/>
            <w:r>
              <w:rPr>
                <w:b w:val="0"/>
                <w:i w:val="0"/>
                <w:sz w:val="17"/>
              </w:rPr>
              <w:t>Director, Talent Management</w:t>
            </w:r>
          </w:p>
        </w:tc>
        <w:tc>
          <w:tcPr>
            <w:tcW w:type="dxa" w:w="2592"/>
          </w:tcPr>
          <w:p>
            <w:pPr>
              <w:spacing w:before="60" w:after="60" w:line="264" w:lineRule="auto"/>
            </w:pPr>
            <w:r/>
            <w:r>
              <w:rPr>
                <w:b w:val="0"/>
                <w:i w:val="0"/>
                <w:sz w:val="17"/>
              </w:rPr>
              <w:t>$135,000 to $145,000</w:t>
            </w:r>
          </w:p>
        </w:tc>
      </w:tr>
      <w:tr>
        <w:tc>
          <w:tcPr>
            <w:tcW w:type="dxa" w:w="720"/>
          </w:tcPr>
          <w:p>
            <w:pPr>
              <w:spacing w:before="60" w:after="60" w:line="264" w:lineRule="auto"/>
            </w:pPr>
            <w:r/>
            <w:r>
              <w:rPr>
                <w:b w:val="0"/>
                <w:i w:val="0"/>
                <w:sz w:val="17"/>
              </w:rPr>
              <w:t>A4</w:t>
            </w:r>
          </w:p>
        </w:tc>
        <w:tc>
          <w:tcPr>
            <w:tcW w:type="dxa" w:w="2736"/>
          </w:tcPr>
          <w:p>
            <w:pPr>
              <w:spacing w:before="60" w:after="60" w:line="264" w:lineRule="auto"/>
            </w:pPr>
            <w:r/>
            <w:r>
              <w:rPr>
                <w:b w:val="0"/>
                <w:i w:val="0"/>
                <w:sz w:val="17"/>
              </w:rPr>
              <w:t>Patriot Growth Insurance Services</w:t>
            </w:r>
          </w:p>
        </w:tc>
        <w:tc>
          <w:tcPr>
            <w:tcW w:type="dxa" w:w="3600"/>
          </w:tcPr>
          <w:p>
            <w:pPr>
              <w:spacing w:before="60" w:after="60" w:line="264" w:lineRule="auto"/>
            </w:pPr>
            <w:r/>
            <w:r>
              <w:rPr>
                <w:b w:val="0"/>
                <w:i w:val="0"/>
                <w:sz w:val="17"/>
              </w:rPr>
              <w:t>Director of Strategic Initiatives</w:t>
            </w:r>
          </w:p>
        </w:tc>
        <w:tc>
          <w:tcPr>
            <w:tcW w:type="dxa" w:w="2592"/>
          </w:tcPr>
          <w:p>
            <w:pPr>
              <w:spacing w:before="60" w:after="60" w:line="264" w:lineRule="auto"/>
            </w:pPr>
            <w:r/>
            <w:r>
              <w:rPr>
                <w:b w:val="0"/>
                <w:i w:val="0"/>
                <w:sz w:val="17"/>
              </w:rPr>
              <w:t>$200,000 to $250,000</w:t>
            </w:r>
          </w:p>
        </w:tc>
      </w:tr>
      <w:tr>
        <w:tc>
          <w:tcPr>
            <w:tcW w:type="dxa" w:w="720"/>
          </w:tcPr>
          <w:p>
            <w:pPr>
              <w:spacing w:before="60" w:after="60" w:line="264" w:lineRule="auto"/>
            </w:pPr>
            <w:r/>
            <w:r>
              <w:rPr>
                <w:b w:val="0"/>
                <w:i w:val="0"/>
                <w:sz w:val="17"/>
              </w:rPr>
              <w:t>A5</w:t>
            </w:r>
          </w:p>
        </w:tc>
        <w:tc>
          <w:tcPr>
            <w:tcW w:type="dxa" w:w="2736"/>
          </w:tcPr>
          <w:p>
            <w:pPr>
              <w:spacing w:before="60" w:after="60" w:line="264" w:lineRule="auto"/>
            </w:pPr>
            <w:r/>
            <w:r>
              <w:rPr>
                <w:b w:val="0"/>
                <w:i w:val="0"/>
                <w:sz w:val="17"/>
              </w:rPr>
              <w:t>xAI</w:t>
            </w:r>
          </w:p>
        </w:tc>
        <w:tc>
          <w:tcPr>
            <w:tcW w:type="dxa" w:w="3600"/>
          </w:tcPr>
          <w:p>
            <w:pPr>
              <w:spacing w:before="60" w:after="60" w:line="264" w:lineRule="auto"/>
            </w:pPr>
            <w:r/>
            <w:r>
              <w:rPr>
                <w:b w:val="0"/>
                <w:i w:val="0"/>
                <w:sz w:val="17"/>
              </w:rPr>
              <w:t>Member of Technical Staff, Governance Risk Compliance</w:t>
            </w:r>
          </w:p>
        </w:tc>
        <w:tc>
          <w:tcPr>
            <w:tcW w:type="dxa" w:w="2592"/>
          </w:tcPr>
          <w:p>
            <w:pPr>
              <w:spacing w:before="60" w:after="60" w:line="264" w:lineRule="auto"/>
            </w:pPr>
            <w:r/>
            <w:r>
              <w:rPr>
                <w:b w:val="0"/>
                <w:i w:val="0"/>
                <w:sz w:val="17"/>
              </w:rPr>
              <w:t>$180,000 to $440,000 base</w:t>
            </w:r>
          </w:p>
        </w:tc>
      </w:tr>
      <w:tr>
        <w:tc>
          <w:tcPr>
            <w:tcW w:type="dxa" w:w="720"/>
          </w:tcPr>
          <w:p>
            <w:pPr>
              <w:spacing w:before="60" w:after="60" w:line="264" w:lineRule="auto"/>
            </w:pPr>
            <w:r/>
            <w:r>
              <w:rPr>
                <w:b w:val="0"/>
                <w:i w:val="0"/>
                <w:sz w:val="17"/>
              </w:rPr>
              <w:t>A6</w:t>
            </w:r>
          </w:p>
        </w:tc>
        <w:tc>
          <w:tcPr>
            <w:tcW w:type="dxa" w:w="2736"/>
          </w:tcPr>
          <w:p>
            <w:pPr>
              <w:spacing w:before="60" w:after="60" w:line="264" w:lineRule="auto"/>
            </w:pPr>
            <w:r/>
            <w:r>
              <w:rPr>
                <w:b w:val="0"/>
                <w:i w:val="0"/>
                <w:sz w:val="17"/>
              </w:rPr>
              <w:t>GiveDirectly</w:t>
            </w:r>
          </w:p>
        </w:tc>
        <w:tc>
          <w:tcPr>
            <w:tcW w:type="dxa" w:w="3600"/>
          </w:tcPr>
          <w:p>
            <w:pPr>
              <w:spacing w:before="60" w:after="60" w:line="264" w:lineRule="auto"/>
            </w:pPr>
            <w:r/>
            <w:r>
              <w:rPr>
                <w:b w:val="0"/>
                <w:i w:val="0"/>
                <w:sz w:val="17"/>
              </w:rPr>
              <w:t>Director, Global Talent Acquisition (Remote)</w:t>
            </w:r>
          </w:p>
        </w:tc>
        <w:tc>
          <w:tcPr>
            <w:tcW w:type="dxa" w:w="2592"/>
          </w:tcPr>
          <w:p>
            <w:pPr>
              <w:spacing w:before="60" w:after="60" w:line="264" w:lineRule="auto"/>
            </w:pPr>
            <w:r/>
            <w:r>
              <w:rPr>
                <w:b w:val="0"/>
                <w:i w:val="0"/>
                <w:sz w:val="17"/>
              </w:rPr>
              <w:t>Fixed United States base of $128,000</w:t>
            </w:r>
          </w:p>
        </w:tc>
      </w:tr>
    </w:tbl>
    <w:p>
      <w:pPr>
        <w:spacing w:after="120"/>
      </w:pPr>
    </w:p>
    <w:p>
      <w:pPr>
        <w:spacing w:before="320" w:after="120"/>
        <w:keepNext w:val="1"/>
        <w:keepLines w:val="1"/>
      </w:pPr>
      <w:r>
        <w:rPr>
          <w:b/>
          <w:i w:val="0"/>
          <w:color w:val="112345"/>
          <w:sz w:val="26"/>
        </w:rPr>
        <w:t>PRESENTATION RULES, PER SOURCE</w:t>
      </w:r>
    </w:p>
    <w:p>
      <w:pPr>
        <w:spacing w:before="200" w:after="60"/>
        <w:keepNext w:val="1"/>
        <w:keepLines w:val="1"/>
      </w:pPr>
      <w:r>
        <w:rPr>
          <w:b/>
          <w:i w:val="0"/>
          <w:color w:val="8A6D1E"/>
          <w:sz w:val="17"/>
        </w:rPr>
        <w:t>A1  SR DIVISIONAL STRATEGY CONSULTANT, GOVERNANCE</w:t>
      </w:r>
    </w:p>
    <w:p>
      <w:pPr>
        <w:spacing w:before="0" w:after="160"/>
      </w:pPr>
      <w:r>
        <w:rPr>
          <w:b w:val="0"/>
          <w:i w:val="0"/>
          <w:sz w:val="21"/>
        </w:rPr>
        <w:t>Named on camera. Highlight order: the verb supporting, then the ability to accept direction and feedback, then the $61,500 floor.</w:t>
      </w:r>
    </w:p>
    <w:p>
      <w:pPr>
        <w:spacing w:before="200" w:after="60"/>
        <w:keepNext w:val="1"/>
        <w:keepLines w:val="1"/>
      </w:pPr>
      <w:r>
        <w:rPr>
          <w:b/>
          <w:i w:val="0"/>
          <w:color w:val="8A6D1E"/>
          <w:sz w:val="17"/>
        </w:rPr>
        <w:t>A2  DIRECTOR OF ENTERPRISE RESILIENCE</w:t>
      </w:r>
    </w:p>
    <w:p>
      <w:pPr>
        <w:spacing w:before="0" w:after="160"/>
      </w:pPr>
      <w:r>
        <w:rPr>
          <w:b w:val="0"/>
          <w:i w:val="0"/>
          <w:sz w:val="21"/>
        </w:rPr>
        <w:t>Named on camera, and the viewer must hear it is the same company as A1. The posting establishes predefined decisions. It does not establish who created them, and nothing on camera or on screen may say otherwise.</w:t>
      </w:r>
    </w:p>
    <w:p>
      <w:pPr>
        <w:spacing w:before="200" w:after="60"/>
        <w:keepNext w:val="1"/>
        <w:keepLines w:val="1"/>
      </w:pPr>
      <w:r>
        <w:rPr>
          <w:b/>
          <w:i w:val="0"/>
          <w:color w:val="8A6D1E"/>
          <w:sz w:val="17"/>
        </w:rPr>
        <w:t>A3  DIRECTOR, TALENT MANAGEMENT</w:t>
      </w:r>
    </w:p>
    <w:p>
      <w:pPr>
        <w:spacing w:before="0" w:after="160"/>
      </w:pPr>
      <w:r>
        <w:rPr>
          <w:b w:val="0"/>
          <w:i w:val="0"/>
          <w:sz w:val="21"/>
        </w:rPr>
        <w:t>Named on camera. Paired with A4 in one comparison. Compensation revealed last, both together.</w:t>
      </w:r>
    </w:p>
    <w:p>
      <w:pPr>
        <w:spacing w:before="200" w:after="60"/>
        <w:keepNext w:val="1"/>
        <w:keepLines w:val="1"/>
      </w:pPr>
      <w:r>
        <w:rPr>
          <w:b/>
          <w:i w:val="0"/>
          <w:color w:val="8A6D1E"/>
          <w:sz w:val="17"/>
        </w:rPr>
        <w:t>A4  DIRECTOR OF STRATEGIC INITIATIVES</w:t>
      </w:r>
    </w:p>
    <w:p>
      <w:pPr>
        <w:spacing w:before="0" w:after="160"/>
      </w:pPr>
      <w:r>
        <w:rPr>
          <w:b w:val="0"/>
          <w:i w:val="0"/>
          <w:sz w:val="21"/>
        </w:rPr>
        <w:t>Named on camera. The limit on the $65,000 figure is mandatory and must follow the reveal immediately.</w:t>
      </w:r>
    </w:p>
    <w:p>
      <w:pPr>
        <w:spacing w:before="200" w:after="60"/>
        <w:keepNext w:val="1"/>
        <w:keepLines w:val="1"/>
      </w:pPr>
      <w:r>
        <w:rPr>
          <w:b/>
          <w:i w:val="0"/>
          <w:color w:val="8A6D1E"/>
          <w:sz w:val="17"/>
        </w:rPr>
        <w:t>A5  MEMBER OF TECHNICAL STAFF, GOVERNANCE RISK COMPLIANCE</w:t>
      </w:r>
    </w:p>
    <w:p>
      <w:pPr>
        <w:spacing w:before="0" w:after="160"/>
      </w:pPr>
      <w:r>
        <w:rPr>
          <w:b w:val="0"/>
          <w:i w:val="0"/>
          <w:sz w:val="21"/>
        </w:rPr>
        <w:t>Named on camera. The acronym density is shown as captured, unedited, so it registers before the reversal. Salary held to the end of the beat.</w:t>
      </w:r>
    </w:p>
    <w:p>
      <w:pPr>
        <w:spacing w:before="200" w:after="60"/>
        <w:keepNext w:val="1"/>
        <w:keepLines w:val="1"/>
      </w:pPr>
      <w:r>
        <w:rPr>
          <w:b/>
          <w:i w:val="0"/>
          <w:color w:val="8A6D1E"/>
          <w:sz w:val="17"/>
        </w:rPr>
        <w:t>A6  DIRECTOR, GLOBAL TALENT ACQUISITION (REMOTE)</w:t>
      </w:r>
    </w:p>
    <w:p>
      <w:pPr>
        <w:spacing w:before="0" w:after="160"/>
      </w:pPr>
      <w:r>
        <w:rPr>
          <w:b w:val="0"/>
          <w:i w:val="0"/>
          <w:sz w:val="21"/>
        </w:rPr>
        <w:t>Named on camera, in the past tense, so the line holds if the posting closes. The 7 or 8 a.m. figure is locality-dependent and carries the Central Time qualifier. The beat runs about 45 seconds.</w:t>
      </w:r>
    </w:p>
    <w:p>
      <w:pPr>
        <w:spacing w:before="320" w:after="120"/>
        <w:keepNext w:val="1"/>
        <w:keepLines w:val="1"/>
      </w:pPr>
      <w:r>
        <w:rPr>
          <w:b/>
          <w:i w:val="0"/>
          <w:color w:val="112345"/>
          <w:sz w:val="26"/>
        </w:rPr>
        <w:t>WHERE THE PACKET AND THE SCRIPT DIFFER</w:t>
      </w:r>
    </w:p>
    <w:p>
      <w:pPr>
        <w:spacing w:before="0" w:after="160"/>
      </w:pPr>
      <w:r>
        <w:rPr>
          <w:b w:val="0"/>
          <w:i w:val="0"/>
          <w:sz w:val="21"/>
        </w:rPr>
        <w:t>The capture packet quotes lines from the pre-advisor draft under the heading 'exact lines used in the script'. The updated 50-character script is the wording of record and differs from those quotations in places. The evidence itself is unchanged: the employers, titles, compensation, preserved text and presentation rules all still govern. This is recorded rather than resolved, because resolving it would mean editing one of the two 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If current-source wording later differs from the captured packet, flag it. Do not silently update the research or rewrite the video.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