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Turn One Accomplishment Into Career Proof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Source and evidence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Capture date  </w:t>
      </w:r>
      <w:r>
        <w:rPr>
          <w:sz w:val="21"/>
        </w:rPr>
        <w:t>September 12, 2026</w:t>
      </w:r>
    </w:p>
    <w:p>
      <w:pPr>
        <w:spacing w:after="80"/>
      </w:pPr>
      <w:r>
        <w:rPr>
          <w:b/>
          <w:color w:val="8A6D1E"/>
          <w:sz w:val="20"/>
        </w:rPr>
        <w:t xml:space="preserve">Authority  </w:t>
      </w:r>
      <w:r>
        <w:rPr>
          <w:sz w:val="21"/>
        </w:rPr>
        <w:t>Internal Source Capture Packet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4:33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URL is not the asset. Every production visual is built from the preserved text in the capture packet, never from a page reopened on shoot day. Where a URL appears in frame, the visual carries CAPTURED SEPTEMBER 12, 2026.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REF</w:t>
            </w:r>
          </w:p>
        </w:tc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EMPLOYER</w:t>
            </w:r>
          </w:p>
        </w:tc>
        <w:tc>
          <w:tcPr>
            <w:tcW w:type="dxa" w:w="360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EXACT TITLE</w:t>
            </w:r>
          </w:p>
        </w:tc>
        <w:tc>
          <w:tcPr>
            <w:tcW w:type="dxa" w:w="259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PUBLISHED COMPENSATION</w:t>
            </w:r>
          </w:p>
        </w:tc>
      </w:tr>
      <w:tr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B1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NAMED ON CAMERA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Senior Product Manager, Cards Experience</w:t>
            </w:r>
          </w:p>
        </w:tc>
        <w:tc>
          <w:tcPr>
            <w:tcW w:type="dxa" w:w="259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$173,600 to $204,200</w:t>
            </w:r>
          </w:p>
        </w:tc>
      </w:tr>
      <w:tr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B2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NAMED ON CAMERA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Senior Product Manager, Personal Banking</w:t>
            </w:r>
          </w:p>
        </w:tc>
        <w:tc>
          <w:tcPr>
            <w:tcW w:type="dxa" w:w="259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$203,100 to $238,900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PRESENTATION RULES, PER SOURCE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B1  SENIOR PRODUCT MANAGER, CARDS EXPERIENCE</w:t>
      </w:r>
    </w:p>
    <w:p>
      <w:pPr>
        <w:spacing w:before="0" w:after="160"/>
      </w:pPr>
      <w:r>
        <w:rPr>
          <w:b w:val="0"/>
          <w:i w:val="0"/>
          <w:sz w:val="21"/>
        </w:rPr>
        <w:t>Anonymized. If posting text appears on screen, the employer name, logo and URL are cropped or masked. The teaching value is entirely in the language overlap and the requirement divergence.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B2  SENIOR PRODUCT MANAGER, PERSONAL BANKING</w:t>
      </w:r>
    </w:p>
    <w:p>
      <w:pPr>
        <w:spacing w:before="0" w:after="160"/>
      </w:pPr>
      <w:r>
        <w:rPr>
          <w:b w:val="0"/>
          <w:i w:val="0"/>
          <w:sz w:val="21"/>
        </w:rPr>
        <w:t>Anonymized, same treatment as B1. Presented beside B1 with all employer identifiers removed.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THE PACKET AND THE SCRIPT DIFFER</w:t>
      </w:r>
    </w:p>
    <w:p>
      <w:pPr>
        <w:spacing w:before="0" w:after="160"/>
      </w:pPr>
      <w:r>
        <w:rPr>
          <w:b w:val="0"/>
          <w:i w:val="0"/>
          <w:sz w:val="21"/>
        </w:rPr>
        <w:t>The capture packet quotes lines from the pre-advisor draft under the heading 'exact lines used in the script'. The updated 50-character script is the wording of record and differs from those quotations in places. The evidence itself is unchanged: the employers, titles, compensation, preserved text and presentation rules all still govern. This is recorded rather than resolved, because resolving it would mean editing one of the two sources.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If current-source wording later differs from the captured packet, flag it. Do not silently update the research or rewrite the video.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