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" w:line="269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74" w:line="264" w:lineRule="auto"/>
      </w:pPr>
      <w:r>
        <w:rPr>
          <w:b/>
          <w:i w:val="0"/>
          <w:color w:val="0F2346"/>
          <w:sz w:val="36"/>
        </w:rPr>
        <w:t>VIDEO 2 — FOUR STANDALONE SHORTS</w:t>
      </w:r>
    </w:p>
    <w:p>
      <w:pPr>
        <w:spacing w:before="0" w:after="148" w:line="269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92" w:line="269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56" w:line="269" w:lineRule="auto"/>
      </w:pPr>
      <w:r>
        <w:rPr>
          <w:b w:val="0"/>
          <w:i w:val="0"/>
          <w:sz w:val="22"/>
        </w:rPr>
        <w:t>Each Short needs: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an immediate verbal hook;        —  a corresponding on-screen hook;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meaningful visual movement;        —  accurate mobile-safe captions;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premium, restrained editorial pacing;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Video 2 added as the Related Video when available.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Direct address is part of the creative</w:t>
      </w:r>
    </w:p>
    <w:p>
      <w:pPr>
        <w:spacing w:before="0" w:after="74" w:line="269" w:lineRule="auto"/>
        <w:shd w:val="clear" w:fill="F3F0E8"/>
        <w:keepLines w:val="1"/>
      </w:pPr>
      <w:r>
        <w:rPr>
          <w:b/>
          <w:i w:val="0"/>
          <w:color w:val="0F2346"/>
          <w:sz w:val="22"/>
        </w:rPr>
        <w:t>Temidayo is speaking to ONE experienced professional sitting across from her. Not a crowd, not a conference room, not an abstract audience.</w:t>
      </w:r>
    </w:p>
    <w:p>
      <w:pPr>
        <w:spacing w:before="92" w:after="46" w:line="269" w:lineRule="auto"/>
        <w:keepLines w:val="1"/>
        <w:keepNext w:val="1"/>
      </w:pPr>
      <w:r>
        <w:rPr>
          <w:b/>
          <w:i w:val="0"/>
          <w:color w:val="0F2346"/>
          <w:sz w:val="23"/>
        </w:rPr>
        <w:t>Editing should support that relationship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keep direct questions connected to Temidayo's face where useful;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making this feel like a keynote;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overusing quote cards;        —  let the slides carry structure;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let Temidayo carry relationship, interpretation and trust;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preserve the pauses around direct questions;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generic “career guru” visual language.</w:t>
      </w:r>
    </w:p>
    <w:p>
      <w:pPr>
        <w:spacing w:before="92" w:after="46" w:line="269" w:lineRule="auto"/>
        <w:keepLines w:val="1"/>
        <w:keepNext w:val="1"/>
      </w:pPr>
      <w:r>
        <w:rPr>
          <w:b/>
          <w:i w:val="0"/>
          <w:color w:val="0F2346"/>
          <w:sz w:val="23"/>
        </w:rPr>
        <w:t>Relational beats — do not cut these as filler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“There are two questions I want you to separate.”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“Let me show you what changing contexts taught me.”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“Try this on one sentence from your résumé.”</w:t>
      </w:r>
    </w:p>
    <w:p>
      <w:pPr>
        <w:spacing w:before="0" w:after="74" w:line="269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They are part of the viewer relationship, not padding. Do not trim them for pace, and do not let a graphic cover Temidayo while she says one.</w:t>
      </w:r>
    </w:p>
    <w:p>
      <w:pPr>
        <w:spacing w:before="0" w:after="74" w:line="269" w:lineRule="auto"/>
        <w:keepLines w:val="1"/>
      </w:pPr>
      <w:r>
        <w:rPr>
          <w:b w:val="0"/>
          <w:i w:val="0"/>
          <w:sz w:val="22"/>
        </w:rPr>
        <w:t>Do not reintroduce detached phrasing — “some people”, “professionals often”, “people may”, “a person should”, “employees often”, “workers may”, “many professionals” — anywhere in the edit, the captions or the on-screen text.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DOING WELL. FEWER OPTIONS?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Visual:  VALUABLE HERE  /  LEGIBLE ELSEWHERE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Non-alarmist. Do not imply that being relied on is itself a warning sign.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CAN ANOTHER CONTEXT USE IT?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2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INDISPENSABLE ≠ MARKETABLE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Restrained two-column contrast. No generic office B-roll.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WHAT BELONGS TO YOU, AND WHAT BELONGS TO THE CONTEXT?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2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NOT EVERYTHING TRAVELS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FACTUAL BOUNDARY: no employer, metric, role or result. The proof is that Temidayo's career crossed functions and industries and she had to learn what travels.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WHAT STAYS USEFUL WHEN THE CONTEXT CHANGES?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2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REMOVE THE COMPANY NOUNS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Show the before and after sentence as restrained text, not a graphic gag.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NOW IT IS EASIER TO UNDERSTAND.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2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46" w:line="269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stock office B-roll;        —  generic résumé graphics;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employer logos;        —  red warning graphics;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fake shock expressions;        —  countdown motifs;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constant zooms;        —  AI-generated scenery;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social-media template effects.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