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12345"/>
          <w:sz w:val="48"/>
        </w:rPr>
        <w:t>Keep the Proof Version 2</w:t>
      </w:r>
    </w:p>
    <w:p>
      <w:r>
        <w:rPr>
          <w:rFonts w:ascii="Georgia" w:hAnsi="Georgia"/>
          <w:i/>
          <w:color w:val="5B6472"/>
          <w:sz w:val="26"/>
        </w:rPr>
        <w:t>Stage 1 Overview: the architecture and change map at a glance</w:t>
      </w:r>
    </w:p>
    <w:p>
      <w:r>
        <w:rPr>
          <w:color w:val="5B6472"/>
          <w:sz w:val="19"/>
        </w:rPr>
        <w:t>Prepared for Temidayo Afonja, The Density Group  ·  September 18, 2026</w:t>
      </w:r>
    </w:p>
    <w:p>
      <w:r>
        <w:rPr>
          <w:color w:val="5B6472"/>
          <w:sz w:val="19"/>
        </w:rPr>
        <w:t>Companion summary to the full 27-page architecture document. Review only. Stage 2 is not authorized until the architecture is approved.</w:t>
      </w:r>
    </w:p>
    <w:p>
      <w:r>
        <w:rPr>
          <w:rFonts w:ascii="Georgia" w:hAnsi="Georgia"/>
          <w:b/>
          <w:color w:val="112345"/>
          <w:sz w:val="28"/>
        </w:rPr>
        <w:t>What this is</w:t>
      </w:r>
    </w:p>
    <w:p>
      <w:r>
        <w:rPr>
          <w:sz w:val="22"/>
        </w:rPr>
        <w:t>This is a short overview of the Stage 1 deliverable. The full detail lives in the companion document, Keep the Proof Version 2: Product Architecture and Change Map, provided alongside this summary as a PDF and a Markdown file. Stage 1 audited the current product against the approved brief and the supplied research and proposed a complete Version 2 architecture. It did not rewrite, redesign, or generate any final product PDF, and it did not begin Stage 2.</w:t>
      </w:r>
    </w:p>
    <w:p>
      <w:r>
        <w:rPr>
          <w:rFonts w:ascii="Georgia" w:hAnsi="Georgia"/>
          <w:b/>
          <w:color w:val="112345"/>
          <w:sz w:val="28"/>
        </w:rPr>
        <w:t>Sources read, in full</w:t>
      </w:r>
    </w:p>
    <w:p>
      <w:r>
        <w:rPr>
          <w:sz w:val="22"/>
        </w:rPr>
        <w:t>The Version 2 brief, treated as authoritative and overriding research where they differ. The current product files: the handbook (41 pages), the Career Evidence Ledger (12 pages), and Start Here, mapped page by page. Research Pass 2 (September 17, 2026), the principal research evidence, read in full. The current live Career Evidence Starter page and its repository source. And the Jessie learning-experience reference, at the level of experience principles only, with no imitation of its branding, topic, tone, or aesthetic. Research Pass 1 was referenced by the brief but not included in this upload; Research Pass 2 controls where it restates Pass 1.</w:t>
      </w:r>
    </w:p>
    <w:p>
      <w:r>
        <w:rPr>
          <w:rFonts w:ascii="Georgia" w:hAnsi="Georgia"/>
          <w:b/>
          <w:color w:val="112345"/>
          <w:sz w:val="28"/>
        </w:rPr>
        <w:t>Headline recommendation: re-sequence, do not rebuild</w:t>
      </w:r>
    </w:p>
    <w:p>
      <w:r>
        <w:rPr>
          <w:sz w:val="22"/>
        </w:rPr>
        <w:t>The most consistent finding is a mismatch of location, not of quality. The method already solves the two problems a person can finish alone, which are I cannot remember what I did and I cannot explain what I did. The marketing and the opening speak mostly to the two problems that need a destination and other people, which are what of this is relevant elsewhere and how do I get recognized. Version 2 does the first job so well, and lets the reader enter it so many ways, that they recognize themselves on the first page and are doing real work by the third. Five moves define it:</w:t>
      </w:r>
    </w:p>
    <w:p>
      <w:pPr>
        <w:pStyle w:val="ListNumber"/>
      </w:pPr>
      <w:r>
        <w:rPr>
          <w:b/>
          <w:color w:val="112345"/>
        </w:rPr>
        <w:t xml:space="preserve">Re-spine on Capture, Clarify, Carry: </w:t>
      </w:r>
      <w:r>
        <w:t>folding the current five-step method into three stages a reader can hold in their head, with Clarify as the intellectual center.</w:t>
      </w:r>
    </w:p>
    <w:p>
      <w:pPr>
        <w:pStyle w:val="ListNumber"/>
      </w:pPr>
      <w:r>
        <w:rPr>
          <w:b/>
          <w:color w:val="112345"/>
        </w:rPr>
        <w:t xml:space="preserve">Open with recognition, not education: </w:t>
      </w:r>
      <w:r>
        <w:t>a short page that turns the research situations into a mirror, under one logic: different circumstances, same first job, build an accurate account of the work.</w:t>
      </w:r>
    </w:p>
    <w:p>
      <w:pPr>
        <w:pStyle w:val="ListNumber"/>
      </w:pPr>
      <w:r>
        <w:rPr>
          <w:b/>
          <w:color w:val="112345"/>
        </w:rPr>
        <w:t xml:space="preserve">Build a real second door: </w:t>
      </w:r>
      <w:r>
        <w:t>a substantially stronger reconstruction path, entered with Already lost access? Start here, for the person whose systems already closed. This is the largest documented product gap.</w:t>
      </w:r>
    </w:p>
    <w:p>
      <w:pPr>
        <w:pStyle w:val="ListNumber"/>
      </w:pPr>
      <w:r>
        <w:rPr>
          <w:b/>
          <w:color w:val="112345"/>
        </w:rPr>
        <w:t xml:space="preserve">Add the two things competitors lack: </w:t>
      </w:r>
      <w:r>
        <w:t>a narrow corroboration step (who could confirm this, and what they observed) and lawful reconstruction channels. Both are gated by legal review.</w:t>
      </w:r>
    </w:p>
    <w:p>
      <w:pPr>
        <w:pStyle w:val="ListNumber"/>
      </w:pPr>
      <w:r>
        <w:rPr>
          <w:b/>
          <w:color w:val="112345"/>
        </w:rPr>
        <w:t xml:space="preserve">Change the format of the record, not its content: </w:t>
      </w:r>
      <w:r>
        <w:t>keep the beautiful guided handbook and offer the working tools as a copyable, personally controlled document, with the fillable PDF retained as an option.</w:t>
      </w:r>
    </w:p>
    <w:p>
      <w:r>
        <w:rPr>
          <w:sz w:val="22"/>
        </w:rPr>
        <w:t>Settled by the brief and honored without further debate: remove 60-Minute from the primary descriptor while preserving Your First 60 Minutes as an internal first-session experience, and keep destination-specific translation, direction, and stay-or-leave questions out of Keep the Proof, at the seam with the Field Kit.</w:t>
      </w:r>
    </w:p>
    <w:p>
      <w:r>
        <w:rPr>
          <w:rFonts w:ascii="Georgia" w:hAnsi="Georgia"/>
          <w:b/>
          <w:color w:val="112345"/>
          <w:sz w:val="28"/>
        </w:rPr>
        <w:t>Discipline held</w:t>
      </w:r>
    </w:p>
    <w:p>
      <w:r>
        <w:rPr>
          <w:sz w:val="22"/>
        </w:rPr>
        <w:t>Every Research Pass 2 item labeled Test Before Changing is designed around, not implemented: cadence, where and how much permission content appears before the first tool, the visibility bridge, price, the word proof in the name, and whether reconstruction becomes a separate module. Every legal item is flagged Legal Review Required, including state personnel-record rights, documents lawfully held, written permission, anonymized process accounts, work-for-hire, client confidentiality, severance clauses, and employer AI policies. No existing intellectual property is silently deleted; the current-to-future map dispositions all 41 handbook pages and 12 Ledger forms, and every removal is marked as a candidate for your decision. The live Starter page was not modified; its superseded paid-descriptor copy is logged for a later, separate change.</w:t>
      </w:r>
    </w:p>
    <w:p>
      <w:r>
        <w:rPr>
          <w:rFonts w:ascii="Georgia" w:hAnsi="Georgia"/>
          <w:b/>
          <w:color w:val="112345"/>
          <w:sz w:val="28"/>
        </w:rPr>
        <w:t>What I need from you before Stage 2</w:t>
      </w:r>
    </w:p>
    <w:p>
      <w:r>
        <w:rPr>
          <w:sz w:val="22"/>
        </w:rPr>
        <w:t>The full document lists eleven decisions. The most consequential:</w:t>
      </w:r>
    </w:p>
    <w:p>
      <w:pPr>
        <w:pStyle w:val="ListBullet"/>
      </w:pPr>
      <w:r>
        <w:t>Approve the Capture, Clarify, Carry spine and the recognition-first opening.</w:t>
      </w:r>
    </w:p>
    <w:p>
      <w:pPr>
        <w:pStyle w:val="ListBullet"/>
      </w:pPr>
      <w:r>
        <w:t>Decide whether the expanded reconstruction stays inside the handbook or is built as a separable module.</w:t>
      </w:r>
    </w:p>
    <w:p>
      <w:pPr>
        <w:pStyle w:val="ListBullet"/>
      </w:pPr>
      <w:r>
        <w:t>Approve the copyable Professional Record as the primary working home, and decide its relationship to the Career Evidence Ledger.</w:t>
      </w:r>
    </w:p>
    <w:p>
      <w:pPr>
        <w:pStyle w:val="ListBullet"/>
      </w:pPr>
      <w:r>
        <w:t>Decide whether the visibility outputs are included in Version 2 or held at the Field Kit seam.</w:t>
      </w:r>
    </w:p>
    <w:p>
      <w:pPr>
        <w:pStyle w:val="ListBullet"/>
      </w:pPr>
      <w:r>
        <w:t>Commission the legal review, which gates the reconstruction and permission pages and should start first.</w:t>
      </w:r>
    </w:p>
    <w:p>
      <w:r>
        <w:rPr>
          <w:rFonts w:ascii="Georgia" w:hAnsi="Georgia"/>
          <w:b/>
          <w:color w:val="112345"/>
          <w:sz w:val="28"/>
        </w:rPr>
        <w:t>Where it lives</w:t>
      </w:r>
    </w:p>
    <w:p>
      <w:r>
        <w:rPr>
          <w:sz w:val="22"/>
        </w:rPr>
        <w:t>The full architecture document and this overview are on a review branch and draft pull request in the site repository, kept off the public site. The proposed page-count range for the Version 2 handbook is 44 to 56 pages, plus a separate copyable Professional Record. Nothing proceeds to Stage 2 without your explicit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C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