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LOG</w:t>
      </w:r>
    </w:p>
    <w:p>
      <w:r>
        <w:rPr>
          <w:i/>
        </w:rPr>
        <w:t>Deck v4.10 and Workbook v5.7</w:t>
      </w:r>
    </w:p>
    <w:p>
      <w:r>
        <w:rPr>
          <w:i/>
        </w:rPr>
        <w:t>Against Deck v4.9 and Workbook v5.6 · Instrument unchanged at v1.1 · surgical production pass</w:t>
      </w:r>
    </w:p>
    <w:p>
      <w:r>
        <w:t>Preserved: Instrument v1.1 and all twelve statements verbatim; the uncalibrated first score with no evidence fields; calibration after the first placement; the evidence-backed second score and symmetrical evidence requirement; the neighbouring-score sensitivity check; second placement and provisional-state language; performance versus formation; state is not identity; the ten-line Next-Move Decision; the Field Kit as the ninety-day rescore tool; the free Diagnostic as the uncalibrated public entry signal; “Seek an external perspective”; the unnamed March 2026 employer; no directive to stay or leave; no certificate; no discount code; no Individual Written Position Read in the public close; the navy/sand/gold/rust/white system; Cormorant Garamond and DM Sans; the canonical 2×2 mark; the $249 price and the fifteen-person founding room.</w:t>
      </w:r>
    </w:p>
    <w:p>
      <w:pPr>
        <w:pStyle w:val="Heading1"/>
      </w:pPr>
      <w:r>
        <w:t>Deck structure</w:t>
      </w:r>
    </w:p>
    <w:p>
      <w:r>
        <w:t>42 slides became 43: a visible “Open Part B now” staged-release transition slide was added after the first placement (new slide 19). All slides from the old slide 19 onward shifted up by one, and every footer page number was renumbered to match. No teaching content was added.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Now</w:t>
            </w:r>
          </w:p>
        </w:tc>
        <w:tc>
          <w:tcPr>
            <w:tcW w:type="dxa" w:w="2880"/>
          </w:tcPr>
          <w:p>
            <w:r>
              <w:rPr>
                <w:b/>
              </w:rPr>
              <w:t>Was</w:t>
            </w:r>
          </w:p>
        </w:tc>
      </w:tr>
      <w:tr>
        <w:tc>
          <w:tcPr>
            <w:tcW w:type="dxa" w:w="2880"/>
          </w:tcPr>
          <w:p>
            <w:r>
              <w:t>Part B release</w:t>
            </w:r>
          </w:p>
        </w:tc>
        <w:tc>
          <w:tcPr>
            <w:tcW w:type="dxa" w:w="2880"/>
          </w:tcPr>
          <w:p>
            <w:r>
              <w:t>Visible “Open Part B now” transition slide (slide 19); two-minute release band in the timing sheet; Part B cover reads “Keep Part A available. You will need your initial totals, state, and confidence.”</w:t>
            </w:r>
          </w:p>
        </w:tc>
        <w:tc>
          <w:tcPr>
            <w:tcW w:type="dxa" w:w="2880"/>
          </w:tcPr>
          <w:p>
            <w:r>
              <w:t>Release marked as an instantaneous facilitator note at minute 31; no visible cue; no time allocated</w:t>
            </w:r>
          </w:p>
        </w:tc>
      </w:tr>
      <w:tr>
        <w:tc>
          <w:tcPr>
            <w:tcW w:type="dxa" w:w="2880"/>
          </w:tcPr>
          <w:p>
            <w:r>
              <w:t>Renderer safety</w:t>
            </w:r>
          </w:p>
        </w:tc>
        <w:tc>
          <w:tcPr>
            <w:tcW w:type="dxa" w:w="2880"/>
          </w:tcPr>
          <w:p>
            <w:r>
              <w:t>DM Sans (regular, bold) and Cormorant Garamond embedded in the PPTX; normAutofit shrink-to-fit on all text boxes; verified collision-free at real metrics and under a wide fallback font</w:t>
            </w:r>
          </w:p>
        </w:tc>
        <w:tc>
          <w:tcPr>
            <w:tcW w:type="dxa" w:w="2880"/>
          </w:tcPr>
          <w:p>
            <w:r>
              <w:t>Fonts referenced but not embedded; no shrink-to-fit; overlap risk under substitute fonts</w:t>
            </w:r>
          </w:p>
        </w:tc>
      </w:tr>
      <w:tr>
        <w:tc>
          <w:tcPr>
            <w:tcW w:type="dxa" w:w="2880"/>
          </w:tcPr>
          <w:p>
            <w:r>
              <w:t>Promotion title (slide 24)</w:t>
            </w:r>
          </w:p>
        </w:tc>
        <w:tc>
          <w:tcPr>
            <w:tcW w:type="dxa" w:w="2880"/>
          </w:tcPr>
          <w:p>
            <w:r>
              <w:t>Reduced to 30 pt with shrink-to-fit so it never wraps or overlaps, even with a fallback serif</w:t>
            </w:r>
          </w:p>
        </w:tc>
        <w:tc>
          <w:tcPr>
            <w:tcW w:type="dxa" w:w="2880"/>
          </w:tcPr>
          <w:p>
            <w:r>
              <w:t>38 pt fixed; wraps and collides under a wide fallback font</w:t>
            </w:r>
          </w:p>
        </w:tc>
      </w:tr>
      <w:tr>
        <w:tc>
          <w:tcPr>
            <w:tcW w:type="dxa" w:w="2880"/>
          </w:tcPr>
          <w:p>
            <w:r>
              <w:t>Deck PDF backup</w:t>
            </w:r>
          </w:p>
        </w:tc>
        <w:tc>
          <w:tcPr>
            <w:tcW w:type="dxa" w:w="2880"/>
          </w:tcPr>
          <w:p>
            <w:r>
              <w:t>Deck_v4.10_BACKUP.pdf produced (43 pages)</w:t>
            </w:r>
          </w:p>
        </w:tc>
        <w:tc>
          <w:tcPr>
            <w:tcW w:type="dxa" w:w="2880"/>
          </w:tcPr>
          <w:p>
            <w:r>
              <w:t>No PDF backup in the package</w:t>
            </w:r>
          </w:p>
        </w:tc>
      </w:tr>
      <w:tr>
        <w:tc>
          <w:tcPr>
            <w:tcW w:type="dxa" w:w="2880"/>
          </w:tcPr>
          <w:p>
            <w:r>
              <w:t>Orientation title (slide 6)</w:t>
            </w:r>
          </w:p>
        </w:tc>
        <w:tc>
          <w:tcPr>
            <w:tcW w:type="dxa" w:w="2880"/>
          </w:tcPr>
          <w:p>
            <w:r>
              <w:t>“How the two-hour session works”</w:t>
            </w:r>
          </w:p>
        </w:tc>
        <w:tc>
          <w:tcPr>
            <w:tcW w:type="dxa" w:w="2880"/>
          </w:tcPr>
          <w:p>
            <w:r>
              <w:t>“How the next hundred and five minutes work”</w:t>
            </w:r>
          </w:p>
        </w:tc>
      </w:tr>
      <w:tr>
        <w:tc>
          <w:tcPr>
            <w:tcW w:type="dxa" w:w="2880"/>
          </w:tcPr>
          <w:p>
            <w:r>
              <w:t>Slide 5 header</w:t>
            </w:r>
          </w:p>
        </w:tc>
        <w:tc>
          <w:tcPr>
            <w:tcW w:type="dxa" w:w="2880"/>
          </w:tcPr>
          <w:p>
            <w:r>
              <w:t>“WHAT YOU NEED TO READ FIRST”</w:t>
            </w:r>
          </w:p>
        </w:tc>
        <w:tc>
          <w:tcPr>
            <w:tcW w:type="dxa" w:w="2880"/>
          </w:tcPr>
          <w:p>
            <w:r>
              <w:t>“THE REFRAME”</w:t>
            </w:r>
          </w:p>
        </w:tc>
      </w:tr>
      <w:tr>
        <w:tc>
          <w:tcPr>
            <w:tcW w:type="dxa" w:w="2880"/>
          </w:tcPr>
          <w:p>
            <w:r>
              <w:t>Movement / confidence poll (slide 30)</w:t>
            </w:r>
          </w:p>
        </w:tc>
        <w:tc>
          <w:tcPr>
            <w:tcW w:type="dxa" w:w="2880"/>
          </w:tcPr>
          <w:p>
            <w:r>
              <w:t>“Did at least one of your two axis totals change by two or more points?”, “Did your square change …?”, “Did your confidence go down, stay the same, or go up?”</w:t>
            </w:r>
          </w:p>
        </w:tc>
        <w:tc>
          <w:tcPr>
            <w:tcW w:type="dxa" w:w="2880"/>
          </w:tcPr>
          <w:p>
            <w:r>
              <w:t>“Whose corrected total differs …?”, “Whose square changed …?”, “Whose confidence number went down?”</w:t>
            </w:r>
          </w:p>
        </w:tc>
      </w:tr>
      <w:tr>
        <w:tc>
          <w:tcPr>
            <w:tcW w:type="dxa" w:w="2880"/>
          </w:tcPr>
          <w:p>
            <w:r>
              <w:t>Anonymous polling</w:t>
            </w:r>
          </w:p>
        </w:tc>
        <w:tc>
          <w:tcPr>
            <w:tcW w:type="dxa" w:w="2880"/>
          </w:tcPr>
          <w:p>
            <w:r>
              <w:t>Numbered cards withdrawn as non-anonymous; anonymous QR/web poll or unnumbered folded slips; Boundary and Incomplete-axis options added; initial state distribution not shown before the corrected placement</w:t>
            </w:r>
          </w:p>
        </w:tc>
        <w:tc>
          <w:tcPr>
            <w:tcW w:type="dxa" w:w="2880"/>
          </w:tcPr>
          <w:p>
            <w:r>
              <w:t>Numbered cards listed as a primary in-person method; no Boundary/Incomplete options; initial distribution shown at minute 30</w:t>
            </w:r>
          </w:p>
        </w:tc>
      </w:tr>
      <w:tr>
        <w:tc>
          <w:tcPr>
            <w:tcW w:type="dxa" w:w="2880"/>
          </w:tcPr>
          <w:p>
            <w:r>
              <w:t>State-cost logic</w:t>
            </w:r>
          </w:p>
        </w:tc>
        <w:tc>
          <w:tcPr>
            <w:tcW w:type="dxa" w:w="2880"/>
          </w:tcPr>
          <w:p>
            <w:r>
              <w:t>Compounding: “Maintaining both axes requires continued renewal. A strong current position can make early slippage easy to miss.” Fragile: “What travels today is no longer being renewed by the work you are doing now.”</w:t>
            </w:r>
          </w:p>
        </w:tc>
        <w:tc>
          <w:tcPr>
            <w:tcW w:type="dxa" w:w="2880"/>
          </w:tcPr>
          <w:p>
            <w:r>
              <w:t>Compounding implied internal-only value; Fragile said “the market has not noticed yet”</w:t>
            </w:r>
          </w:p>
        </w:tc>
      </w:tr>
      <w:tr>
        <w:tc>
          <w:tcPr>
            <w:tcW w:type="dxa" w:w="2880"/>
          </w:tcPr>
          <w:p>
            <w:r>
              <w:t>Deterministic language</w:t>
            </w:r>
          </w:p>
        </w:tc>
        <w:tc>
          <w:tcPr>
            <w:tcW w:type="dxa" w:w="2880"/>
          </w:tcPr>
          <w:p>
            <w:r>
              <w:t>“Standing still becomes a condition you can evaluate deliberately”; “Your evidence gives you reason to prepare in case the conditions do not repair”; “Your evidence helps you choose which category to test”; “Hearing others can help you test whether yours is specific enough”; final slide “When your reading changes, notice what changed. Share it only if you choose.”</w:t>
            </w:r>
          </w:p>
        </w:tc>
        <w:tc>
          <w:tcPr>
            <w:tcW w:type="dxa" w:w="2880"/>
          </w:tcPr>
          <w:p>
            <w:r>
              <w:t>Over-certain phrasings (“picks the category”, “will not repair”, “tells you”, “tell me / stories I follow closest”)</w:t>
            </w:r>
          </w:p>
        </w:tc>
      </w:tr>
      <w:tr>
        <w:tc>
          <w:tcPr>
            <w:tcW w:type="dxa" w:w="2880"/>
          </w:tcPr>
          <w:p>
            <w:r>
              <w:t>Speaker-note bias</w:t>
            </w:r>
          </w:p>
        </w:tc>
        <w:tc>
          <w:tcPr>
            <w:tcW w:type="dxa" w:w="2880"/>
          </w:tcPr>
          <w:p>
            <w:r>
              <w:t>Removed or softened: “the slide the Depth Trap room came for”, “expect the strongest reaction here”, “makes people want a move plan”, “the relief is the risk”, “the market keeps rewarding this pattern”, “most likely to produce shame”, “say which route suits which state”</w:t>
            </w:r>
          </w:p>
        </w:tc>
        <w:tc>
          <w:tcPr>
            <w:tcW w:type="dxa" w:w="2880"/>
          </w:tcPr>
          <w:p>
            <w:r>
              <w:t>Present in the v4.9 notes</w:t>
            </w:r>
          </w:p>
        </w:tc>
      </w:tr>
      <w:tr>
        <w:tc>
          <w:tcPr>
            <w:tcW w:type="dxa" w:w="2880"/>
          </w:tcPr>
          <w:p>
            <w:r>
              <w:t>Opening-story notes</w:t>
            </w:r>
          </w:p>
        </w:tc>
        <w:tc>
          <w:tcPr>
            <w:tcW w:type="dxa" w:w="2880"/>
          </w:tcPr>
          <w:p>
            <w:r>
              <w:t>CONFIRMED/HELD production markup removed from the live slide-3 notes; audit kept in the Story Evidence Table; remit described as “first person appointed into the remit and its sole holder”</w:t>
            </w:r>
          </w:p>
        </w:tc>
        <w:tc>
          <w:tcPr>
            <w:tcW w:type="dxa" w:w="2880"/>
          </w:tcPr>
          <w:p>
            <w:r>
              <w:t>Live notes carried the full CONFIRMED/HELD scaffolding; “the only person who ever held it”</w:t>
            </w:r>
          </w:p>
        </w:tc>
      </w:tr>
      <w:tr>
        <w:tc>
          <w:tcPr>
            <w:tcW w:type="dxa" w:w="2880"/>
          </w:tcPr>
          <w:p>
            <w:r>
              <w:t>Workbook Part A order</w:t>
            </w:r>
          </w:p>
        </w:tc>
        <w:tc>
          <w:tcPr>
            <w:tcW w:type="dxa" w:w="2880"/>
          </w:tcPr>
          <w:p>
            <w:r>
              <w:t>Psychological-safety page precedes the first placement in Initial Read and in the complete record; folios 06/07 corrected</w:t>
            </w:r>
          </w:p>
        </w:tc>
        <w:tc>
          <w:tcPr>
            <w:tcW w:type="dxa" w:w="2880"/>
          </w:tcPr>
          <w:p>
            <w:r>
              <w:t>First placement preceded the safety page</w:t>
            </w:r>
          </w:p>
        </w:tc>
      </w:tr>
      <w:tr>
        <w:tc>
          <w:tcPr>
            <w:tcW w:type="dxa" w:w="2880"/>
          </w:tcPr>
          <w:p>
            <w:r>
              <w:t>Part A identity</w:t>
            </w:r>
          </w:p>
        </w:tc>
        <w:tc>
          <w:tcPr>
            <w:tcW w:type="dxa" w:w="2880"/>
          </w:tcPr>
          <w:p>
            <w:r>
              <w:t>Initial Read cover: “PART A · INITIAL READ v1.2 · INSTRUMENT VERSION 1.1”; “Workbook v5.6” removed; “two-hour session” wording; corrected privacy sentence</w:t>
            </w:r>
          </w:p>
        </w:tc>
        <w:tc>
          <w:tcPr>
            <w:tcW w:type="dxa" w:w="2880"/>
          </w:tcPr>
          <w:p>
            <w:r>
              <w:t>Cover carried “WORKBOOK V5.6”; “next hundred and five minutes”; “Room-level counts … no totals”</w:t>
            </w:r>
          </w:p>
        </w:tc>
      </w:tr>
      <w:tr>
        <w:tc>
          <w:tcPr>
            <w:tcW w:type="dxa" w:w="2880"/>
          </w:tcPr>
          <w:p>
            <w:r>
              <w:t>Print covers</w:t>
            </w:r>
          </w:p>
        </w:tc>
        <w:tc>
          <w:tcPr>
            <w:tcW w:type="dxa" w:w="2880"/>
          </w:tcPr>
          <w:p>
            <w:r>
              <w:t>Print files now labelled “· PRINT”</w:t>
            </w:r>
          </w:p>
        </w:tc>
        <w:tc>
          <w:tcPr>
            <w:tcW w:type="dxa" w:w="2880"/>
          </w:tcPr>
          <w:p>
            <w:r>
              <w:t>Print covers inherited the “· FILLABLE” label</w:t>
            </w:r>
          </w:p>
        </w:tc>
      </w:tr>
      <w:tr>
        <w:tc>
          <w:tcPr>
            <w:tcW w:type="dxa" w:w="2880"/>
          </w:tcPr>
          <w:p>
            <w:r>
              <w:t>Versioning</w:t>
            </w:r>
          </w:p>
        </w:tc>
        <w:tc>
          <w:tcPr>
            <w:tcW w:type="dxa" w:w="2880"/>
          </w:tcPr>
          <w:p>
            <w:r>
              <w:t>Deck v4.10; complete record v5.7; Initial Read v1.2; Calibration and Decision v1.2; Instrument unchanged at v1.1</w:t>
            </w:r>
          </w:p>
        </w:tc>
        <w:tc>
          <w:tcPr>
            <w:tcW w:type="dxa" w:w="2880"/>
          </w:tcPr>
          <w:p>
            <w:r>
              <w:t>Deck v4.9; complete record v5.6; staged files v1.1</w:t>
            </w:r>
          </w:p>
        </w:tc>
      </w:tr>
      <w:tr>
        <w:tc>
          <w:tcPr>
            <w:tcW w:type="dxa" w:w="2880"/>
          </w:tcPr>
          <w:p>
            <w:r>
              <w:t>Supporting documents</w:t>
            </w:r>
          </w:p>
        </w:tc>
        <w:tc>
          <w:tcPr>
            <w:tcW w:type="dxa" w:w="2880"/>
          </w:tcPr>
          <w:p>
            <w:r>
              <w:t>Facilitator Protocol v3.3; Anonymous Poll Setup v1.1; Timing and Rehearsal v1.3; QA report v4.10/v5.7; Opening Story v2.1; Story Evidence Table v1.1; Acrobat test v1.1; Fillable-vs-print comparison v1.1</w:t>
            </w:r>
          </w:p>
        </w:tc>
        <w:tc>
          <w:tcPr>
            <w:tcW w:type="dxa" w:w="2880"/>
          </w:tcPr>
          <w:p>
            <w:r>
              <w:t>v3.2 / v1.0 / v1.2 / v4.9–v5.6 / v2.0 / v1.0 / v1.0 / v1.0</w:t>
            </w:r>
          </w:p>
        </w:tc>
      </w:tr>
    </w:tbl>
    <w:p>
      <w:pPr>
        <w:pStyle w:val="Heading1"/>
      </w:pPr>
      <w:r>
        <w:t>Not launch-ready</w:t>
      </w:r>
    </w:p>
    <w:p>
      <w:r>
        <w:t>Six gates remain open: the Acrobat runtime test; selection and testing of an anonymous polling method; a staged-release test; two full rehearsals inside the two-hour block; a PowerPoint and LibreOffice slideshow sign-off; and founder confirmation of the held story beats.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