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CROSS-ASSET QA REPORT</w:t>
      </w:r>
    </w:p>
    <w:p>
      <w:r>
        <w:rPr>
          <w:i/>
        </w:rPr>
        <w:t>Deck v4.10 · Workbook v5.7 · Initial Read v1.2 · Calibration and Decision v1.2</w:t>
      </w:r>
    </w:p>
    <w:p>
      <w:r>
        <w:rPr>
          <w:i/>
        </w:rPr>
        <w:t>Instrument v1.1 · staged participant delivery · surgical production pass over v4.9 / v5.6</w:t>
      </w:r>
    </w:p>
    <w:p>
      <w:r>
        <w:t>Verdict vocabulary. This report uses only four results: Pass, Fail, Not yet tested, and Requires user confirmation. Where a test could not be executed in this environment, the result is Not yet tested or Requires user confirmation, never Pass. No item is marked Pass on the strength of an assumption.</w:t>
      </w:r>
    </w:p>
    <w:p>
      <w:pPr>
        <w:pStyle w:val="Heading1"/>
      </w:pPr>
      <w:r>
        <w:t>Scope of this pass</w:t>
      </w:r>
    </w:p>
    <w:p>
      <w:r>
        <w:t>This was a surgical production pass, not a redesign and not a content expansion. It applied the fixes listed in the change log to the existing deck and workbooks and reconciled the supporting documents. It did not build the sales page and did not add teaching content.</w:t>
      </w:r>
    </w:p>
    <w:p>
      <w:pPr>
        <w:pStyle w:val="Heading1"/>
      </w:pPr>
      <w:r>
        <w:t>Environment limitations that gate certain results</w:t>
      </w:r>
    </w:p>
    <w:p>
      <w:pPr>
        <w:pStyle w:val="ListBullet"/>
      </w:pPr>
      <w:r>
        <w:t>Adobe Acrobat Reader is not available in this environment, so the form runtime could not be exercised. The AcroForm object layer was verified by inspection (row 5 and row 6).</w:t>
      </w:r>
    </w:p>
    <w:p>
      <w:pPr>
        <w:pStyle w:val="ListBullet"/>
      </w:pPr>
      <w:r>
        <w:t>Microsoft PowerPoint is not available, and LibreOffice / soffice would not bootstrap in this environment (it failed to load any document, including plain text). The deck could therefore not be opened in either application's slideshow mode here. Slide geometry was instead verified with an independent text-metrics renderer that lays out every run with real font metrics and reports the rectangle each text block actually occupies (rows 1, 2 and 22). Opening the deck in PowerPoint and in LibreOffice remains a human sign-off (row 23).</w:t>
      </w:r>
    </w:p>
    <w:p>
      <w:pPr>
        <w:pStyle w:val="ListBullet"/>
      </w:pPr>
      <w:r>
        <w:t>No rehearsal has been run and no anonymous polling method has been selected, so timing, staged release and polling are recorded as Not yet tested.</w:t>
      </w:r>
    </w:p>
    <w:p>
      <w:pPr>
        <w:pStyle w:val="Heading1"/>
      </w:pPr>
      <w:r>
        <w:t>Version interpretation to confirm</w:t>
      </w:r>
    </w:p>
    <w:p>
      <w:r>
        <w:t>The brief asked that the Part A cover read “PART A · INITIAL READ v1.1” and that the deliverables be produced as Initial Read v1.2, Calibration and Decision v1.2 and Complete Workbook v5.7. To avoid a file whose name and cover disagree, the document versions were advanced consistently: the Part A cover now reads “PART A · INITIAL READ v1.2 · INSTRUMENT VERSION 1.1”, and the Calibration cover reads “CALIBRATION AND DECISION V1.2”. The Instrument itself remains frozen at Version 1.1. If you intended the Part A cover to read v1.1 literally, that single line is a one-word change. This item is Requires user confirmation.</w:t>
      </w:r>
    </w:p>
    <w:p>
      <w:pPr>
        <w:pStyle w:val="Heading1"/>
      </w:pPr>
      <w:r>
        <w:t>March 2026 opening story — confirmation status</w:t>
      </w:r>
    </w:p>
    <w:p>
      <w:r>
        <w:t>Confirmed and cleared for delivery: eighteen-year vantage; first appointed and sole holder of the remit, for both remits; the four reasons she believed the position was secure; the March 2026 absorption; the two correction sentences; the general turn; and the close. Still Requires user confirmation: the exact public title, what was tested about portability, what was made deliberately visible outside, and any specific hindsight after the role ended. The CONFIRMED / HELD production markup has been removed from the live deck slide-3 notes; the line-by-line basis and status now live in the Story Evidence Table v1.1. The unconfirmed beats must be omitted at delivery, not improvised around.</w:t>
      </w:r>
    </w:p>
    <w:p>
      <w:pPr>
        <w:pStyle w:val="Heading1"/>
      </w:pPr>
      <w:r>
        <w:t>Not launch-ready</w:t>
      </w:r>
    </w:p>
    <w:p>
      <w:r>
        <w:t>These assets are a complete and corrected build, not a launch-ready product. Six gates remain open: the Acrobat runtime test; selection and testing of an anonymous polling method; a staged-release test; two full rehearsals inside the two-hour block; a PowerPoint and LibreOffice slideshow sign-off; and founder confirmation of the held story beats. Do not describe the product as launch-ready until all are closed.</w:t>
      </w:r>
    </w:p>
    <w:p>
      <w:pPr>
        <w:pStyle w:val="Heading1"/>
      </w:pPr>
      <w:r>
        <w:t>Check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Result</w:t>
            </w:r>
          </w:p>
        </w:tc>
        <w:tc>
          <w:tcPr>
            <w:tcW w:type="dxa" w:w="2880"/>
          </w:tcPr>
          <w:p>
            <w:r>
              <w:rPr>
                <w:b/>
              </w:rPr>
              <w:t>Evidence</w:t>
            </w:r>
          </w:p>
        </w:tc>
      </w:tr>
      <w:tr>
        <w:tc>
          <w:tcPr>
            <w:tcW w:type="dxa" w:w="2880"/>
          </w:tcPr>
          <w:p>
            <w:r>
              <w:t>1. Rendered slide thumbnails</w:t>
            </w:r>
          </w:p>
        </w:tc>
        <w:tc>
          <w:tcPr>
            <w:tcW w:type="dxa" w:w="2880"/>
          </w:tcPr>
          <w:p>
            <w:r>
              <w:t>Pass</w:t>
            </w:r>
          </w:p>
        </w:tc>
        <w:tc>
          <w:tcPr>
            <w:tcW w:type="dxa" w:w="2880"/>
          </w:tcPr>
          <w:p>
            <w:r>
              <w:t>montage_real.png (Deck v4.10 slide montage) — all 43 slides rendered with real DM Sans and Cormorant Garamond metrics.</w:t>
            </w:r>
          </w:p>
        </w:tc>
      </w:tr>
      <w:tr>
        <w:tc>
          <w:tcPr>
            <w:tcW w:type="dxa" w:w="2880"/>
          </w:tcPr>
          <w:p>
            <w:r>
              <w:t>2. Full-size inspection of every corrected slide</w:t>
            </w:r>
          </w:p>
        </w:tc>
        <w:tc>
          <w:tcPr>
            <w:tcW w:type="dxa" w:w="2880"/>
          </w:tcPr>
          <w:p>
            <w:r>
              <w:t>Pass</w:t>
            </w:r>
          </w:p>
        </w:tc>
        <w:tc>
          <w:tcPr>
            <w:tcW w:type="dxa" w:w="2880"/>
          </w:tcPr>
          <w:p>
            <w:r>
              <w:t>A text-metrics render detector laid out every run with real font metrics and, separately, with a wide fallback serif/sans, simulating PowerPoint shrink-to-fit. Zero rectangle collisions and zero footer intrusions on all 43 slides in both passes.</w:t>
            </w:r>
          </w:p>
        </w:tc>
      </w:tr>
      <w:tr>
        <w:tc>
          <w:tcPr>
            <w:tcW w:type="dxa" w:w="2880"/>
          </w:tcPr>
          <w:p>
            <w:r>
              <w:t>3. Slide 23/24 promotion title never overlaps, even with fallback fonts</w:t>
            </w:r>
          </w:p>
        </w:tc>
        <w:tc>
          <w:tcPr>
            <w:tcW w:type="dxa" w:w="2880"/>
          </w:tcPr>
          <w:p>
            <w:r>
              <w:t>Pass</w:t>
            </w:r>
          </w:p>
        </w:tc>
        <w:tc>
          <w:tcPr>
            <w:tcW w:type="dxa" w:w="2880"/>
          </w:tcPr>
          <w:p>
            <w:r>
              <w:t>The promotion slide (now slide 24) title reduced to 30 pt and set to shrink-to-fit; it holds a single line under a wide fallback serif (measured 770 pt against an 856 pt box) and does not touch the eyebrow or subtitle.</w:t>
            </w:r>
          </w:p>
        </w:tc>
      </w:tr>
      <w:tr>
        <w:tc>
          <w:tcPr>
            <w:tcW w:type="dxa" w:w="2880"/>
          </w:tcPr>
          <w:p>
            <w:r>
              <w:t>4. Page-by-page workbook fillable vs print comparison</w:t>
            </w:r>
          </w:p>
        </w:tc>
        <w:tc>
          <w:tcPr>
            <w:tcW w:type="dxa" w:w="2880"/>
          </w:tcPr>
          <w:p>
            <w:r>
              <w:t>Pass, with the difference stated</w:t>
            </w:r>
          </w:p>
        </w:tc>
        <w:tc>
          <w:tcPr>
            <w:tcW w:type="dxa" w:w="2880"/>
          </w:tcPr>
          <w:p>
            <w:r>
              <w:t>Not claimed pixel-identical. Every page is identical (max delta 0) except page 1 in each document, where the cover version line reads FILLABLE in the fillable file and PRINT in the print file — an intended label difference. Full table in Workbook_Fillable_vs_Print_Page_Comparison_v1.1.</w:t>
            </w:r>
          </w:p>
        </w:tc>
      </w:tr>
      <w:tr>
        <w:tc>
          <w:tcPr>
            <w:tcW w:type="dxa" w:w="2880"/>
          </w:tcPr>
          <w:p>
            <w:r>
              <w:t>5. Acrobat runtime test</w:t>
            </w:r>
          </w:p>
        </w:tc>
        <w:tc>
          <w:tcPr>
            <w:tcW w:type="dxa" w:w="2880"/>
          </w:tcPr>
          <w:p>
            <w:r>
              <w:t>Not yet tested</w:t>
            </w:r>
          </w:p>
        </w:tc>
        <w:tc>
          <w:tcPr>
            <w:tcW w:type="dxa" w:w="2880"/>
          </w:tcPr>
          <w:p>
            <w:r>
              <w:t>No Adobe Acrobat Reader in this environment. Must be completed on desktop Reader and signed.</w:t>
            </w:r>
          </w:p>
        </w:tc>
      </w:tr>
      <w:tr>
        <w:tc>
          <w:tcPr>
            <w:tcW w:type="dxa" w:w="2880"/>
          </w:tcPr>
          <w:p>
            <w:r>
              <w:t>6. Form-field object layer preserved through edits</w:t>
            </w:r>
          </w:p>
        </w:tc>
        <w:tc>
          <w:tcPr>
            <w:tcW w:type="dxa" w:w="2880"/>
          </w:tcPr>
          <w:p>
            <w:r>
              <w:t>Pass, structurally only</w:t>
            </w:r>
          </w:p>
        </w:tc>
        <w:tc>
          <w:tcPr>
            <w:tcW w:type="dxa" w:w="2880"/>
          </w:tcPr>
          <w:p>
            <w:r>
              <w:t>Verified by object inspection after the edits: Complete 107 fields (CO=10, 10 calculation actions, 24 keystroke validators, NeedAppearances true); Initial Read 24 fields (CO=4); Calibration 83 fields (CO=4). Runtime behaviour is row 5.</w:t>
            </w:r>
          </w:p>
        </w:tc>
      </w:tr>
      <w:tr>
        <w:tc>
          <w:tcPr>
            <w:tcW w:type="dxa" w:w="2880"/>
          </w:tcPr>
          <w:p>
            <w:r>
              <w:t>7. Staged-release test</w:t>
            </w:r>
          </w:p>
        </w:tc>
        <w:tc>
          <w:tcPr>
            <w:tcW w:type="dxa" w:w="2880"/>
          </w:tcPr>
          <w:p>
            <w:r>
              <w:t>Not yet tested</w:t>
            </w:r>
          </w:p>
        </w:tc>
        <w:tc>
          <w:tcPr>
            <w:tcW w:type="dxa" w:w="2880"/>
          </w:tcPr>
          <w:p>
            <w:r>
              <w:t>Three files build correctly with the right field subsets (Initial Read 24, Calibration 83, complete 107). The deck now carries a visible “Open Part B now” transition slide and the timing sheet allocates a two-minute release band. Whether staging holds in a live room is a rehearsal question.</w:t>
            </w:r>
          </w:p>
        </w:tc>
      </w:tr>
      <w:tr>
        <w:tc>
          <w:tcPr>
            <w:tcW w:type="dxa" w:w="2880"/>
          </w:tcPr>
          <w:p>
            <w:r>
              <w:t>8. Anonymous-poll test</w:t>
            </w:r>
          </w:p>
        </w:tc>
        <w:tc>
          <w:tcPr>
            <w:tcW w:type="dxa" w:w="2880"/>
          </w:tcPr>
          <w:p>
            <w:r>
              <w:t>Not yet tested</w:t>
            </w:r>
          </w:p>
        </w:tc>
        <w:tc>
          <w:tcPr>
            <w:tcW w:type="dxa" w:w="2880"/>
          </w:tcPr>
          <w:p>
            <w:r>
              <w:t>The method is specified (numbered cards withdrawn as non-anonymous; anonymous QR/web poll or unnumbered folded slips; Boundary and Incomplete-axis options added; the initial state distribution is not displayed before the corrected placement; questions asked as “Did your …?”; confidence options Down / No change / Up). No method has been selected or tested yet.</w:t>
            </w:r>
          </w:p>
        </w:tc>
      </w:tr>
      <w:tr>
        <w:tc>
          <w:tcPr>
            <w:tcW w:type="dxa" w:w="2880"/>
          </w:tcPr>
          <w:p>
            <w:r>
              <w:t>9. Timing from both rehearsals</w:t>
            </w:r>
          </w:p>
        </w:tc>
        <w:tc>
          <w:tcPr>
            <w:tcW w:type="dxa" w:w="2880"/>
          </w:tcPr>
          <w:p>
            <w:r>
              <w:t>Not yet tested</w:t>
            </w:r>
          </w:p>
        </w:tc>
        <w:tc>
          <w:tcPr>
            <w:tcW w:type="dxa" w:w="2880"/>
          </w:tcPr>
          <w:p>
            <w:r>
              <w:t>Neither rehearsal has run. The designed core is now about 105–107 minutes including a two-minute Part B release, inside a binding two-hour block.</w:t>
            </w:r>
          </w:p>
        </w:tc>
      </w:tr>
      <w:tr>
        <w:tc>
          <w:tcPr>
            <w:tcW w:type="dxa" w:w="2880"/>
          </w:tcPr>
          <w:p>
            <w:r>
              <w:t>10. Deck renderer safety and font embedding</w:t>
            </w:r>
          </w:p>
        </w:tc>
        <w:tc>
          <w:tcPr>
            <w:tcW w:type="dxa" w:w="2880"/>
          </w:tcPr>
          <w:p>
            <w:r>
              <w:t>Pass</w:t>
            </w:r>
          </w:p>
        </w:tc>
        <w:tc>
          <w:tcPr>
            <w:tcW w:type="dxa" w:w="2880"/>
          </w:tcPr>
          <w:p>
            <w:r>
              <w:t>DM Sans (regular and bold) and Cormorant Garamond are embedded in the PPTX (embedTrueTypeFonts set, saveSubsetFonts cleared). normAutofit shrink-to-fit was added to all 660 text boxes so no title or card can overflow into a neighbour under a substitute font. Verified collision-free at real metrics and under a wide fallback.</w:t>
            </w:r>
          </w:p>
        </w:tc>
      </w:tr>
      <w:tr>
        <w:tc>
          <w:tcPr>
            <w:tcW w:type="dxa" w:w="2880"/>
          </w:tcPr>
          <w:p>
            <w:r>
              <w:t>11. Deck opened in PowerPoint and LibreOffice slideshow</w:t>
            </w:r>
          </w:p>
        </w:tc>
        <w:tc>
          <w:tcPr>
            <w:tcW w:type="dxa" w:w="2880"/>
          </w:tcPr>
          <w:p>
            <w:r>
              <w:t>Requires user confirmation</w:t>
            </w:r>
          </w:p>
        </w:tc>
        <w:tc>
          <w:tcPr>
            <w:tcW w:type="dxa" w:w="2880"/>
          </w:tcPr>
          <w:p>
            <w:r>
              <w:t>Neither application could be run in this environment (PowerPoint unavailable; LibreOffice would not bootstrap). Geometry verified by the text-metrics renderer (rows 1, 2, 10). A human must open the deck in both applications' slideshow mode to sign this off.</w:t>
            </w:r>
          </w:p>
        </w:tc>
      </w:tr>
      <w:tr>
        <w:tc>
          <w:tcPr>
            <w:tcW w:type="dxa" w:w="2880"/>
          </w:tcPr>
          <w:p>
            <w:r>
              <w:t>12. Deck PDF backup produced</w:t>
            </w:r>
          </w:p>
        </w:tc>
        <w:tc>
          <w:tcPr>
            <w:tcW w:type="dxa" w:w="2880"/>
          </w:tcPr>
          <w:p>
            <w:r>
              <w:t>Pass</w:t>
            </w:r>
          </w:p>
        </w:tc>
        <w:tc>
          <w:tcPr>
            <w:tcW w:type="dxa" w:w="2880"/>
          </w:tcPr>
          <w:p>
            <w:r>
              <w:t>Deck_v4.10_BACKUP.pdf — 43 pages rendered from the embedded deck.</w:t>
            </w:r>
          </w:p>
        </w:tc>
      </w:tr>
      <w:tr>
        <w:tc>
          <w:tcPr>
            <w:tcW w:type="dxa" w:w="2880"/>
          </w:tcPr>
          <w:p>
            <w:r>
              <w:t>13. Part B release transition present</w:t>
            </w:r>
          </w:p>
        </w:tc>
        <w:tc>
          <w:tcPr>
            <w:tcW w:type="dxa" w:w="2880"/>
          </w:tcPr>
          <w:p>
            <w:r>
              <w:t>Pass</w:t>
            </w:r>
          </w:p>
        </w:tc>
        <w:tc>
          <w:tcPr>
            <w:tcW w:type="dxa" w:w="2880"/>
          </w:tcPr>
          <w:p>
            <w:r>
              <w:t>Visible “Open Part B now” slide (deck slide 19) carrying “Keep Part A open — you will need your initial totals, state, and confidence.” The Part B cover reads “Keep Part A available. You will need your initial totals, state, and confidence.” The release is a two-minute band in the timing sheet, not a zero-time step.</w:t>
            </w:r>
          </w:p>
        </w:tc>
      </w:tr>
      <w:tr>
        <w:tc>
          <w:tcPr>
            <w:tcW w:type="dxa" w:w="2880"/>
          </w:tcPr>
          <w:p>
            <w:r>
              <w:t>14. Workbook Part A reorder (safety before placement)</w:t>
            </w:r>
          </w:p>
        </w:tc>
        <w:tc>
          <w:tcPr>
            <w:tcW w:type="dxa" w:w="2880"/>
          </w:tcPr>
          <w:p>
            <w:r>
              <w:t>Pass</w:t>
            </w:r>
          </w:p>
        </w:tc>
        <w:tc>
          <w:tcPr>
            <w:tcW w:type="dxa" w:w="2880"/>
          </w:tcPr>
          <w:p>
            <w:r>
              <w:t>In Initial Read v1.2 and Complete v5.7 the psychological-safety page (“Read this before you go further”) now precedes the first placement. Printed folios corrected to 06 (safety) and 07 (placement); page references reconciled.</w:t>
            </w:r>
          </w:p>
        </w:tc>
      </w:tr>
      <w:tr>
        <w:tc>
          <w:tcPr>
            <w:tcW w:type="dxa" w:w="2880"/>
          </w:tcPr>
          <w:p>
            <w:r>
              <w:t>15. Part A identity</w:t>
            </w:r>
          </w:p>
        </w:tc>
        <w:tc>
          <w:tcPr>
            <w:tcW w:type="dxa" w:w="2880"/>
          </w:tcPr>
          <w:p>
            <w:r>
              <w:t>Pass</w:t>
            </w:r>
          </w:p>
        </w:tc>
        <w:tc>
          <w:tcPr>
            <w:tcW w:type="dxa" w:w="2880"/>
          </w:tcPr>
          <w:p>
            <w:r>
              <w:t>Initial Read cover reads “PART A · INITIAL READ v1.2 · INSTRUMENT VERSION 1.1”; “Workbook v5.6” removed; the page-2 header reads “How the two-hour session works”; the privacy sentence reads “Room-level totals are recorded without names, individual scores, or identifiable responses.”</w:t>
            </w:r>
          </w:p>
        </w:tc>
      </w:tr>
      <w:tr>
        <w:tc>
          <w:tcPr>
            <w:tcW w:type="dxa" w:w="2880"/>
          </w:tcPr>
          <w:p>
            <w:r>
              <w:t>16. State-cost logic corrected</w:t>
            </w:r>
          </w:p>
        </w:tc>
        <w:tc>
          <w:tcPr>
            <w:tcW w:type="dxa" w:w="2880"/>
          </w:tcPr>
          <w:p>
            <w:r>
              <w:t>Pass</w:t>
            </w:r>
          </w:p>
        </w:tc>
        <w:tc>
          <w:tcPr>
            <w:tcW w:type="dxa" w:w="2880"/>
          </w:tcPr>
          <w:p>
            <w:r>
              <w:t>Compounding immediate cost now reads “Maintaining both axes requires continued renewal. A strong current position can make early slippage easy to miss.” Fragile now reads “What travels today is no longer being renewed by the work you are doing now.” Applied on deck slide 33 and workbook page 19 (Part B page 13).</w:t>
            </w:r>
          </w:p>
        </w:tc>
      </w:tr>
      <w:tr>
        <w:tc>
          <w:tcPr>
            <w:tcW w:type="dxa" w:w="2880"/>
          </w:tcPr>
          <w:p>
            <w:r>
              <w:t>17. Biased or unsupported speaker notes removed or softened</w:t>
            </w:r>
          </w:p>
        </w:tc>
        <w:tc>
          <w:tcPr>
            <w:tcW w:type="dxa" w:w="2880"/>
          </w:tcPr>
          <w:p>
            <w:r>
              <w:t>Pass</w:t>
            </w:r>
          </w:p>
        </w:tc>
        <w:tc>
          <w:tcPr>
            <w:tcW w:type="dxa" w:w="2880"/>
          </w:tcPr>
          <w:p>
            <w:r>
              <w:t>Removed or softened on slides 22, 31, 33 and 39 (was 21, 30, 32, 38): “the slide the Depth Trap room came for”, “expect the strongest reaction here”, “makes people want a move plan”, “the relief is the risk”, “the market keeps rewarding this pattern”, “most likely to produce shame”, and “say which route suits which state”.</w:t>
            </w:r>
          </w:p>
        </w:tc>
      </w:tr>
      <w:tr>
        <w:tc>
          <w:tcPr>
            <w:tcW w:type="dxa" w:w="2880"/>
          </w:tcPr>
          <w:p>
            <w:r>
              <w:t>18. Deterministic language tightened</w:t>
            </w:r>
          </w:p>
        </w:tc>
        <w:tc>
          <w:tcPr>
            <w:tcW w:type="dxa" w:w="2880"/>
          </w:tcPr>
          <w:p>
            <w:r>
              <w:t>Pass</w:t>
            </w:r>
          </w:p>
        </w:tc>
        <w:tc>
          <w:tcPr>
            <w:tcW w:type="dxa" w:w="2880"/>
          </w:tcPr>
          <w:p>
            <w:r>
              <w:t>Slide 5 header set to “WHAT YOU NEED TO READ FIRST”; “Standing still becomes a condition you can evaluate deliberately”; “Prepare for exit” reasoning changed to “Your evidence gives you reason to prepare in case the conditions do not repair”; “Your evidence helps you choose which category to test”; “Hearing others can help you test whether yours is specific enough”; final slide “When your reading changes, notice what changed. Share it only if you choose.”</w:t>
            </w:r>
          </w:p>
        </w:tc>
      </w:tr>
      <w:tr>
        <w:tc>
          <w:tcPr>
            <w:tcW w:type="dxa" w:w="2880"/>
          </w:tcPr>
          <w:p>
            <w:r>
              <w:t>19. Opening story wording and live-note cleanup</w:t>
            </w:r>
          </w:p>
        </w:tc>
        <w:tc>
          <w:tcPr>
            <w:tcW w:type="dxa" w:w="2880"/>
          </w:tcPr>
          <w:p>
            <w:r>
              <w:t>Pass, with story facts still to confirm</w:t>
            </w:r>
          </w:p>
        </w:tc>
        <w:tc>
          <w:tcPr>
            <w:tcW w:type="dxa" w:w="2880"/>
          </w:tcPr>
          <w:p>
            <w:r>
              <w:t>“the only person who ever held it” replaced with “first person appointed into the remit and its sole holder”; employer unnamed; CONFIRMED/HELD markup removed from the live deck notes; Story Evidence Table kept separately (v1.1). Underlying held beats remain Requires user confirmation (see status section).</w:t>
            </w:r>
          </w:p>
        </w:tc>
      </w:tr>
      <w:tr>
        <w:tc>
          <w:tcPr>
            <w:tcW w:type="dxa" w:w="2880"/>
          </w:tcPr>
          <w:p>
            <w:r>
              <w:t>20. Employer remains unnamed</w:t>
            </w:r>
          </w:p>
        </w:tc>
        <w:tc>
          <w:tcPr>
            <w:tcW w:type="dxa" w:w="2880"/>
          </w:tcPr>
          <w:p>
            <w:r>
              <w:t>Pass</w:t>
            </w:r>
          </w:p>
        </w:tc>
        <w:tc>
          <w:tcPr>
            <w:tcW w:type="dxa" w:w="2880"/>
          </w:tcPr>
          <w:p>
            <w:r>
              <w:t>No employer name in any slide, speaker note, workbook page, metadata field or filename, including the new transition slide and the cleaned slide-3 notes.</w:t>
            </w:r>
          </w:p>
        </w:tc>
      </w:tr>
      <w:tr>
        <w:tc>
          <w:tcPr>
            <w:tcW w:type="dxa" w:w="2880"/>
          </w:tcPr>
          <w:p>
            <w:r>
              <w:t>21. Optionality not reduced to visibility</w:t>
            </w:r>
          </w:p>
        </w:tc>
        <w:tc>
          <w:tcPr>
            <w:tcW w:type="dxa" w:w="2880"/>
          </w:tcPr>
          <w:p>
            <w:r>
              <w:t>Pass</w:t>
            </w:r>
          </w:p>
        </w:tc>
        <w:tc>
          <w:tcPr>
            <w:tcW w:type="dxa" w:w="2880"/>
          </w:tcPr>
          <w:p>
            <w:r>
              <w:t>Unchanged from the prior pass and preserved through renumbering; corrected on slides 17, 25, 26 and workbook pages 6/7 and 10.</w:t>
            </w:r>
          </w:p>
        </w:tc>
      </w:tr>
      <w:tr>
        <w:tc>
          <w:tcPr>
            <w:tcW w:type="dxa" w:w="2880"/>
          </w:tcPr>
          <w:p>
            <w:r>
              <w:t>22. Promotion framed as Density, not automatically Stagnant</w:t>
            </w:r>
          </w:p>
        </w:tc>
        <w:tc>
          <w:tcPr>
            <w:tcW w:type="dxa" w:w="2880"/>
          </w:tcPr>
          <w:p>
            <w:r>
              <w:t>Pass</w:t>
            </w:r>
          </w:p>
        </w:tc>
        <w:tc>
          <w:tcPr>
            <w:tcW w:type="dxa" w:w="2880"/>
          </w:tcPr>
          <w:p>
            <w:r>
              <w:t>Slide 24 titled “Why promotion can stop forming a high performer” with the guard sentence on the slide and the reasoning in the notes.</w:t>
            </w:r>
          </w:p>
        </w:tc>
      </w:tr>
      <w:tr>
        <w:tc>
          <w:tcPr>
            <w:tcW w:type="dxa" w:w="2880"/>
          </w:tcPr>
          <w:p>
            <w:r>
              <w:t>23. No workbook content collected; no third-party names</w:t>
            </w:r>
          </w:p>
        </w:tc>
        <w:tc>
          <w:tcPr>
            <w:tcW w:type="dxa" w:w="2880"/>
          </w:tcPr>
          <w:p>
            <w:r>
              <w:t>Pass</w:t>
            </w:r>
          </w:p>
        </w:tc>
        <w:tc>
          <w:tcPr>
            <w:tcW w:type="dxa" w:w="2880"/>
          </w:tcPr>
          <w:p>
            <w:r>
              <w:t>Capture is limited to anonymized room-level counts and permissioned language; the permission script and prohibitions are intact.</w:t>
            </w:r>
          </w:p>
        </w:tc>
      </w:tr>
      <w:tr>
        <w:tc>
          <w:tcPr>
            <w:tcW w:type="dxa" w:w="2880"/>
          </w:tcPr>
          <w:p>
            <w:r>
              <w:t>24. Anonymous poll method documented</w:t>
            </w:r>
          </w:p>
        </w:tc>
        <w:tc>
          <w:tcPr>
            <w:tcW w:type="dxa" w:w="2880"/>
          </w:tcPr>
          <w:p>
            <w:r>
              <w:t>Pass, documented only</w:t>
            </w:r>
          </w:p>
        </w:tc>
        <w:tc>
          <w:tcPr>
            <w:tcW w:type="dxa" w:w="2880"/>
          </w:tcPr>
          <w:p>
            <w:r>
              <w:t>Anonymous_Poll_Setup_and_Backup_v1.1 specifies method, setup, backup, fields, privacy boundary and display rules. Selecting and testing a method remains Not yet tested (row 8).</w:t>
            </w:r>
          </w:p>
        </w:tc>
      </w:tr>
      <w:tr>
        <w:tc>
          <w:tcPr>
            <w:tcW w:type="dxa" w:w="2880"/>
          </w:tcPr>
          <w:p>
            <w:r>
              <w:t>25. Close-ups / fallback-font stress render</w:t>
            </w:r>
          </w:p>
        </w:tc>
        <w:tc>
          <w:tcPr>
            <w:tcW w:type="dxa" w:w="2880"/>
          </w:tcPr>
          <w:p>
            <w:r>
              <w:t>Pass</w:t>
            </w:r>
          </w:p>
        </w:tc>
        <w:tc>
          <w:tcPr>
            <w:tcW w:type="dxa" w:w="2880"/>
          </w:tcPr>
          <w:p>
            <w:r>
              <w:t>montage_fallback.png renders all 43 slides with a wide fallback serif/sans and shrink-to-fit simulated; no collisions, confirming the embedded-font layout degrades safely.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